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https://www.autoritedelaconcurrence.fr/fr/decision-de-controle-des-concentrations/relative-la-prise-de-controle-exclusif-par-la-societe-37</w:t>
      </w:r>
    </w:p>
    <w:p>
      <w:r>
        <w:t>Pages translated : 2</w:t>
      </w:r>
    </w:p>
    <w:p/>
    <w:p>
      <w:r>
        <w:rPr>
          <w:b/>
        </w:rPr>
        <w:t>[Pages 1–2]</w:t>
      </w:r>
    </w:p>
    <w:p>
      <w:r>
        <w:t>REPUBLIC OF FRANCE</w:t>
        <w:br/>
        <w:t>Decision No. 18-DCC-138 of August 20, 2018</w:t>
        <w:br/>
        <w:t>regarding the exclusive control acquisition by the company Franprix Leader Price Holding (Casino group) of 27 retail stores with a food focus</w:t>
        <w:br/>
        <w:t>The Competition Authority,</w:t>
        <w:br/>
        <w:t>Having regard to the complete notification file sent to the mergers department on August 1, 2018, concerning the exclusive control acquisition by the company Franprix Leader Price Holding SAS of 27 retail stores with a food focus, and formalized by a transfer project signed on June 18, 2018;</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Franprix Leader Price Holding SAS of 27 retail stores with a food focus under the brands of the Casino group, of which it previously held joint control with the Zouari family. This operation constitutes a concentration operation within the meaning of Article L. 430-1 of the Commercial Code. Given the turnover generated by the companies concerned, the operation does not fall under the jurisdiction of the European Union.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18-148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