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https://www.autoritedelaconcurrence.fr/fr/decision-de-controle-des-concentrations/relative-la-prise-de-controle-exclusif-par-la-societe-38</w:t>
      </w:r>
    </w:p>
    <w:p>
      <w:r>
        <w:t>Pages translated : 2</w:t>
      </w:r>
    </w:p>
    <w:p/>
    <w:p>
      <w:r>
        <w:rPr>
          <w:b/>
        </w:rPr>
        <w:t>[Pages 1–2]</w:t>
      </w:r>
    </w:p>
    <w:p>
      <w:r>
        <w:t xml:space="preserve">FRENCH REPUBLIC  </w:t>
        <w:br/>
        <w:t xml:space="preserve">Decision No. 18-DCC-179 of October 30, 2018  </w:t>
        <w:br/>
        <w:t xml:space="preserve">regarding the exclusive control acquisition by the company Financière Immobilière Bordelaise of assets from the Galeries Lafayette group  </w:t>
        <w:br/>
        <w:t xml:space="preserve">The Competition Authority,  </w:t>
        <w:br/>
        <w:t xml:space="preserve">Having regard to the complete notification file sent to the mergers department on September 26, 2018, concerning the exclusive control acquisition by the company Financière Immobilière Bordelaise of assets from the Galeries Lafayette group, formalized by a framework agreement dated February 2, 2018, 22 business transfer agreements dated May 29, 2018, and a real estate sale promise dated May 29, 2018;  </w:t>
        <w:br/>
        <w:t xml:space="preserve">Having regard to Book IV of the Commercial Code relating to the freedom of prices and competition, and in particular its Articles L. 430-1 to L. 430-7;  </w:t>
        <w:br/>
        <w:t xml:space="preserve">Having regard to the additional elements transmitted by the notifying party during the investigation;  </w:t>
        <w:br/>
        <w:t xml:space="preserve">Adopts the following decision:  </w:t>
        <w:br/>
        <w:t xml:space="preserve">1. The notified operation consists of the acquisition by the company Financière Immobilière Bordelaise of 22 business assets of stores under the Galeries Lafayette brand and the buildings in which they are operated. It constitutes a concentration within the meaning of Article L. 430-1 of the Commercial Code. Given the turnover generated by the concerned companies, the operation does not fall under the jurisdiction of the European Union. However, the control thresholds mentioned in I of Article L. 430-2 of the Commercial Code are exceeded. The present operation is therefore subject to the provisions of Articles L. 430-3 and following of the Commercial Code relating to economic concentration.  </w:t>
        <w:br/>
        <w:t xml:space="preserve">2. The markets concerned by the operation are the upstream market for the supply of non-food products, the downstream market for the distribution of non-food products, the markets for real estate services, and the markets for the marketing, supply, and retail sale of still and sparkling wines, which are consistently defined by the decision-making practice of the Competition Authority.  </w:t>
        <w:br/>
        <w:t xml:space="preserve">3. Regardless of the segmentations retained, the estimated market shares of the new entity are below 25%.  </w:t>
        <w:br/>
        <w:t>4. Considering the elements of the file and in particular point 384 of the guidelines of the Competition Authority relating to the control of concentrations, the operation is not likely to harm competition.</w:t>
      </w:r>
    </w:p>
    <w:p>
      <w:r>
        <w:t xml:space="preserve">DECIDES  </w:t>
        <w:br/>
        <w:t xml:space="preserve">Sole Article: The operation notified under number 18-167 is authorized.  </w:t>
        <w:br/>
        <w:t xml:space="preserve">The Vice-President,  </w:t>
        <w:br/>
        <w:t xml:space="preserve">Emmanuel Combe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