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https://www.autoritedelaconcurrence.fr/fr/decision-de-controle-des-concentrations/relative-la-prise-de-controle-exclusif-par-la-societe-40</w:t>
      </w:r>
    </w:p>
    <w:p>
      <w:r>
        <w:t>Pages translated : 2</w:t>
      </w:r>
    </w:p>
    <w:p/>
    <w:p>
      <w:r>
        <w:rPr>
          <w:b/>
        </w:rPr>
        <w:t>[Pages 1–2]</w:t>
      </w:r>
    </w:p>
    <w:p>
      <w:r>
        <w:t xml:space="preserve">FRENCH REPUBLIC  </w:t>
        <w:br/>
        <w:t xml:space="preserve">Decision No. 18-DCC-98 of June 11, 2018  </w:t>
        <w:br/>
        <w:t xml:space="preserve">regarding the exclusive control acquisition by Vertex Investment  </w:t>
        <w:br/>
        <w:t xml:space="preserve">of a food distribution business operated under the  </w:t>
        <w:br/>
        <w:t xml:space="preserve">Carrefour Market brand  </w:t>
        <w:br/>
        <w:t xml:space="preserve">The Competition Authority,  </w:t>
        <w:br/>
        <w:t xml:space="preserve">Having regard to the complete notification file sent to the mergers department on May 4, 2018, concerning the exclusive control acquisition by Vertex Investment of a food distribution business under the Carrefour Market brand, formalized by a memorandum of understanding dated April 26,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Vertex Investment of exclusive control of a business, which operates in Draveil (91) a retail outlet primarily focused on food, with an area of 3,255 m², under the Carrefour Market brand. It constitutes a concentration within the meaning of Article L. 430-1 of the Commercial Code. Given the turnover achieved by the companies concerned, the operation does not fall within the competence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supply of retail companies with consumer goods and their distribution to the final consumer, which are consistently defined by the decision-making practice of the Competition Authority.  </w:t>
        <w:br/>
        <w:t xml:space="preserve">3. Regardless of the segmentations retained, the estimated market shares of the new entity are below 25%.  </w:t>
        <w:br/>
        <w:t>4. Given the elements of the file and in particular in light of point 384 of the guidelines of the Competition Authority relating to the control of concentrations, the operation is not likely to harm competition.</w:t>
      </w:r>
    </w:p>
    <w:p>
      <w:r>
        <w:t xml:space="preserve">DECIDES  </w:t>
        <w:br/>
        <w:t xml:space="preserve">Sole Article: The operation notified under number 18-096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