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https://www.autoritedelaconcurrence.fr/fr/decision-de-controle-des-concentrations/relative-la-prise-de-controle-exclusif-par-la-societe-41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19-DCC-24 of February 12, 2019  </w:t>
        <w:br/>
        <w:t xml:space="preserve">regarding the acquisition of exclusive control by the company Financière  </w:t>
        <w:br/>
        <w:t xml:space="preserve">Immobilière Bordelaise of Ludendo Entreprises SAS and its subsidiaries  </w:t>
        <w:br/>
        <w:t xml:space="preserve">Ludendo SAS, Ludendo Commerce France, Ludendo Industries,  </w:t>
        <w:br/>
        <w:t xml:space="preserve">Jouetland, and La Grande Récré International  </w:t>
        <w:br/>
        <w:t xml:space="preserve">The Competition Authority,  </w:t>
        <w:br/>
        <w:t xml:space="preserve">Having regard to the notification file sent to the mergers department on November 27, 2018, and  </w:t>
        <w:br/>
        <w:t xml:space="preserve">declared complete on January 14, 2019, concerning the acquisition of exclusive control by the company Financière  </w:t>
        <w:br/>
        <w:t xml:space="preserve">Immobilière Bordelaise of the company Ludendo Entreprises SAS and its subsidiaries Ludendo SAS,  </w:t>
        <w:br/>
        <w:t xml:space="preserve">Ludendo Commerce France, Ludendo Industries, Jouetland, and La Grande Récré International  </w:t>
        <w:br/>
        <w:t xml:space="preserve">("the Ludendo group"), formalized by a term sheet dated September 20, 2018, as well as by  </w:t>
        <w:br/>
        <w:t xml:space="preserve">an amendment to the term sheet dated November 29, 2018;  </w:t>
        <w:br/>
        <w:t xml:space="preserve">Having regard to Book IV of the Commercial Code relating to price freedom and competition, and  </w:t>
        <w:br/>
        <w:t xml:space="preserve">notably its Articles L. 430-1 to L. 430-7;  </w:t>
        <w:br/>
        <w:t xml:space="preserve">Having regard to the supplementary elements transmitted by the notifying party during the investigation;  </w:t>
        <w:br/>
        <w:t xml:space="preserve">Adopts the following decision:  </w:t>
        <w:br/>
        <w:t xml:space="preserve">1. The notified operation consists of the acquisition by the company Financière Immobilière Bordelaise  </w:t>
        <w:br/>
        <w:t xml:space="preserve">of the Ludendo group. It constitutes a concentration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control thresholds mentioned in I of Article L. 430-2 of the Commercial Code are exceeded. This  </w:t>
        <w:br/>
        <w:t xml:space="preserve">operation is therefore subject to the provisions of Articles L. 430-3 and following of the Commercial Code relating to economic concentration.  </w:t>
        <w:br/>
        <w:t xml:space="preserve">2. The markets concerned by the operation are the markets for real estate services, games and toys, childcare products, and multimedia entertainment products, which are  </w:t>
        <w:br/>
        <w:t xml:space="preserve">consistently defined by the decision-making practice of the Competition Authority.  </w:t>
        <w:br/>
        <w:t xml:space="preserve">3. Regardless of the segmentations retained, the estimated market shares of the new entity  </w:t>
        <w:br/>
        <w:t xml:space="preserve">are below 25%.  </w:t>
        <w:br/>
        <w:t xml:space="preserve">4. Given the elements of the file and in particular in light of point 384 of the guidelines of  </w:t>
        <w:br/>
        <w:t>the Competition Authority relating to the control of concentrations, the operation is not likely to harm competition.</w:t>
      </w:r>
    </w:p>
    <w:p>
      <w:r>
        <w:t xml:space="preserve">DECIDES  </w:t>
        <w:br/>
        <w:t xml:space="preserve">Sole Article: The operation notified under number 18-198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