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https://www.autoritedelaconcurrence.fr/fr/decision-de-controle-des-concentrations/relative-la-prise-de-controle-exclusif-par-la-societe-42</w:t>
      </w:r>
    </w:p>
    <w:p>
      <w:r>
        <w:t>Pages translated : 2</w:t>
      </w:r>
    </w:p>
    <w:p/>
    <w:p>
      <w:r>
        <w:rPr>
          <w:b/>
        </w:rPr>
        <w:t>[Pages 1–2]</w:t>
      </w:r>
    </w:p>
    <w:p>
      <w:r>
        <w:t>FRENCH REPUBLIC</w:t>
        <w:br/>
        <w:t>Decision No. 19-DCC-38 of March 1, 2019</w:t>
        <w:br/>
        <w:t>regarding the acquisition of exclusive control by the company Franprix Leader Price Holding (Casino group) of fourteen retail stores with a predominant food focus</w:t>
        <w:br/>
        <w:t>The Competition Authority,</w:t>
        <w:br/>
        <w:t>Having regard to the complete notification file sent to the mergers department on January 30, 2019, concerning the acquisition of exclusive control by the company Franprix Leader Price Holding of fourteen retail stores with a predominant food focus, and formalized by a memorandum of understanding signed on December 20, 2018;</w:t>
        <w:br/>
        <w:t>Having regard to Book IV of the Commercial Code relating to the freedom of prices and competition, and in particular its Articles L. 430-1 to L. 430-7;</w:t>
        <w:br/>
        <w:t>Having regard to the additional elements transmitted by the notifying party during the investigation;</w:t>
        <w:br/>
        <w:t>Adopts the following decision:</w:t>
        <w:br/>
        <w:t>1. The notified operation consists of the acquisition of exclusive control by the company Franprix Leader Price Holding of fourteen retail stores with a predominant food focus under the brands of the Casino group, of which it previously held joint control with the Zouari family. This operation constitutes a concentration operation within the meaning of Article L. 430-1 of the Commercial Code. Given the turnover generated by the companies involved, the operation does not fall under the jurisdiction of the European Union.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19-011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