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https://www.autoritedelaconcurrence.fr/fr/decision-de-controle-des-concentrations/relative-la-prise-de-controle-exclusif-par-la-societe-43</w:t>
      </w:r>
    </w:p>
    <w:p>
      <w:r>
        <w:t>Pages translated : 2</w:t>
      </w:r>
    </w:p>
    <w:p/>
    <w:p>
      <w:r>
        <w:rPr>
          <w:b/>
        </w:rPr>
        <w:t>[Pages 1–2]</w:t>
      </w:r>
    </w:p>
    <w:p>
      <w:r>
        <w:t xml:space="preserve">FRENCH REPUBLIC  </w:t>
        <w:br/>
        <w:t xml:space="preserve">Decision No. 19-DCC-119 of June 21, 2019  </w:t>
        <w:br/>
        <w:t xml:space="preserve">regarding the exclusive control acquisition by Ingram Micro of  </w:t>
        <w:br/>
        <w:t xml:space="preserve">Abbakan France  </w:t>
        <w:br/>
        <w:t xml:space="preserve">The Competition Authority,  </w:t>
        <w:br/>
        <w:t xml:space="preserve">Having regard to the notification file sent complete to the mergers department on May 21, 2019,  </w:t>
        <w:br/>
        <w:t xml:space="preserve">concerning the exclusive control acquisition by Ingram Micro of Abbakan France,  </w:t>
        <w:br/>
        <w:t xml:space="preserve">formalized by a share transfer agreement dated May 17, 2019;  </w:t>
        <w:br/>
        <w:t xml:space="preserve">Having regard to Book IV of the Commercial Code relating to the freedom of prices and competition, and  </w:t>
        <w:br/>
        <w:t xml:space="preserve">notably its Articles L. 430-1 to L. 430-7;  </w:t>
        <w:br/>
        <w:t xml:space="preserve">Having regard to the additional elements submitted by the notifying party during the investigation;  </w:t>
        <w:br/>
        <w:t xml:space="preserve">Adopts the following decision:  </w:t>
        <w:br/>
        <w:t xml:space="preserve">1. The notified operation consists of the exclusive control acquisition by Ingram Micro of  </w:t>
        <w:br/>
        <w:t xml:space="preserve">Abbakan France. It constitutes a concentration within the meaning of Article L. 430-1 of the Commercial Code. Given the turnover achieved by the companies concerned,  </w:t>
        <w:br/>
        <w:t xml:space="preserve">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supply of IT products and the wholesale sale of IT products and services, which are consistently defined by the decision-making practice of the competition authorities.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19-130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