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https://www.autoritedelaconcurrence.fr/fr/decision-de-controle-des-concentrations/relative-la-prise-de-controle-exclusif-par-la-societe-44</w:t>
      </w:r>
    </w:p>
    <w:p>
      <w:r>
        <w:t>Pages translated : 2</w:t>
      </w:r>
    </w:p>
    <w:p/>
    <w:p>
      <w:r>
        <w:rPr>
          <w:b/>
        </w:rPr>
        <w:t>[Pages 1–2]</w:t>
      </w:r>
    </w:p>
    <w:p>
      <w:r>
        <w:t xml:space="preserve">FRENCH REPUBLIC  </w:t>
        <w:br/>
        <w:t xml:space="preserve">Decision No. 19-DCC-155 of August 7, 2019  </w:t>
        <w:br/>
        <w:t xml:space="preserve">regarding the exclusive control acquisition by the company Franprix Leader  </w:t>
        <w:br/>
        <w:t xml:space="preserve">Price Holding SAS (Casino group) of 42 retail stores with a predominant food focus  </w:t>
        <w:br/>
        <w:t xml:space="preserve">The Competition Authority,  </w:t>
        <w:br/>
        <w:t xml:space="preserve">Having regard to the complete notification file sent to the mergers department on July 19, 2019,  </w:t>
        <w:br/>
        <w:t xml:space="preserve">concerning the exclusive control acquisition by the company Franprix Leader Price Holding SAS of 42  </w:t>
        <w:br/>
        <w:t xml:space="preserve">retail stores with a predominant food focus, and formalized by a letter exercising the sale promise signed on June 25, 2019;  </w:t>
        <w:br/>
        <w:t xml:space="preserve">Having regard to Book IV of the Commercial Code relating to the freedom of prices and competition, and  </w:t>
        <w:br/>
        <w:t xml:space="preserve">notably its Articles L. 430-1 to L. 430-7;  </w:t>
        <w:br/>
        <w:t xml:space="preserve">Having regard to the additional elements transmitted to the parties during the instruction;  </w:t>
        <w:br/>
        <w:t xml:space="preserve">Adopts the following decision:  </w:t>
        <w:br/>
        <w:t xml:space="preserve">1. The notified operation consists of the exclusive control acquisition by the company Franprix Leader Price  </w:t>
        <w:br/>
        <w:t xml:space="preserve">Holding SAS of 42 retail stores with a predominant food focus under the brands of the Casino group that were previously held by the company Leadmag. This operation constitutes a concentration operation within the meaning of Article L. 430-1 of the Commercial Code. Given the turnover achieved by the concerned companies, the operation does not fall under the jurisdiction of the European Union. On the other hand, the control thresholds related to retail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19-167 is authorized.  </w:t>
        <w:br/>
        <w:t xml:space="preserve">The Vice-President,  </w:t>
        <w:br/>
        <w:t xml:space="preserve">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