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https://www.autoritedelaconcurrence.fr/fr/decision-de-controle-des-concentrations/relative-la-prise-de-controle-exclusif-par-la-societe-45</w:t>
      </w:r>
    </w:p>
    <w:p>
      <w:r>
        <w:t>Pages translated : 2</w:t>
      </w:r>
    </w:p>
    <w:p/>
    <w:p>
      <w:r>
        <w:rPr>
          <w:b/>
        </w:rPr>
        <w:t>[Pages 1–2]</w:t>
      </w:r>
    </w:p>
    <w:p>
      <w:r>
        <w:t xml:space="preserve">FRENCH REPUBLIC  </w:t>
        <w:br/>
        <w:t xml:space="preserve">Decision No. 20-DCC-07 of January 17, 2020  </w:t>
        <w:br/>
        <w:t xml:space="preserve">regarding the exclusive control acquisition by the company Franprix Leader  </w:t>
        <w:br/>
        <w:t xml:space="preserve">Price Holding of 59 retail stores predominantly in the food sector  </w:t>
        <w:br/>
        <w:t xml:space="preserve">The Competition Authority,  </w:t>
        <w:br/>
        <w:t xml:space="preserve">Having regard to the complete notification file sent to the mergers department on  </w:t>
        <w:br/>
        <w:t xml:space="preserve">December 13, 2019, concerning the exclusive control acquisition by the company Franprix Leader Price  </w:t>
        <w:br/>
        <w:t xml:space="preserve">Holding of 59 retail stores predominantly in the food sector, and formalized by a  </w:t>
        <w:br/>
        <w:t xml:space="preserve">memorandum of understanding signed on December 10, 2019;  </w:t>
        <w:br/>
        <w:t xml:space="preserve">Having regard to Book IV of the Commercial Code relating to the freedom of prices and competition, and  </w:t>
        <w:br/>
        <w:t xml:space="preserve">notably its Articles L. 430-1 to L. 430-7;  </w:t>
        <w:br/>
        <w:t xml:space="preserve">Having regard to the additional elements provided by the parties during the investigation;  </w:t>
        <w:br/>
        <w:t xml:space="preserve">Adopts the following decision:  </w:t>
        <w:br/>
        <w:t xml:space="preserve">1. The notified operation consists of the exclusive control acquisition by the company Franprix Leader Price  </w:t>
        <w:br/>
        <w:t xml:space="preserve">Holding of 59 retail stores predominantly in the food sector operated under the Casino group brand, with a surface area ranging from 382 to 1,176 m². It constitutes a concentration operation within the meaning of Article L. 430-1 of the Commercial Code. Given the revenues generated by the companies concerned, the operation does not fall under the jurisdiction of the European Union. However, the control thresholds related to retail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19-335 is authorized.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