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https://www.autoritedelaconcurrence.fr/fr/decision-de-controle-des-concentrations/relative-la-prise-de-controle-exclusif-par-la-societe-46</w:t>
      </w:r>
    </w:p>
    <w:p>
      <w:r>
        <w:t>Pages translated : 2</w:t>
      </w:r>
    </w:p>
    <w:p/>
    <w:p>
      <w:r>
        <w:rPr>
          <w:b/>
        </w:rPr>
        <w:t>[Pages 1–2]</w:t>
      </w:r>
    </w:p>
    <w:p>
      <w:r>
        <w:t xml:space="preserve">FRENCH REPUBLIC  </w:t>
        <w:br/>
        <w:t xml:space="preserve">Decision No. 20-DCC-66 of May 12, 2020  </w:t>
        <w:br/>
        <w:t xml:space="preserve">regarding the exclusive control acquisition by the company Franprix Leader Price Holding of two retail stores with a food focus  </w:t>
        <w:br/>
        <w:t xml:space="preserve">The Competition Authority,  </w:t>
        <w:br/>
        <w:t xml:space="preserve">Having regard to the complete notification file sent to the mergers department on April 9, 2020, concerning the exclusive control acquisition by the company Franprix Leader Price Holding of two retail stores with a food focus, and formalized by a memorandum of understanding signed on April 3, 2020;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by the company Franprix Leader Price Holding of two retail stores with a food focus operated under the Leader Price brand with areas of 687 m² and 778 m² located respectively in Rouen (76) and Saint-Valery-en-Caux (76). It constitutes a concentration operation within the meaning of Article L. 430-1 of the Commercial Code. In application of point 88 of the guidelines of the Competition Authority regarding the control of concentrations, and considering the turnover achieved by the concerned companies, the operation does not fall under the jurisdiction of the European Union. On the other hand, the control thresholds related to retail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concerned markets.</w:t>
      </w:r>
    </w:p>
    <w:p>
      <w:r>
        <w:t xml:space="preserve">DECIDES  </w:t>
        <w:br/>
        <w:t xml:space="preserve">Sole Article: The operation notified under number 20-070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