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https://www.autoritedelaconcurrence.fr/fr/decision-de-controle-des-concentrations/relative-la-prise-de-controle-exclusif-par-la-societe-47</w:t>
      </w:r>
    </w:p>
    <w:p>
      <w:r>
        <w:t>Pages translated : 2</w:t>
      </w:r>
    </w:p>
    <w:p/>
    <w:p>
      <w:r>
        <w:rPr>
          <w:b/>
        </w:rPr>
        <w:t>[Pages 1–2]</w:t>
      </w:r>
    </w:p>
    <w:p>
      <w:r>
        <w:t xml:space="preserve">FRENCH REPUBLIC  </w:t>
        <w:br/>
        <w:t xml:space="preserve">Decision No. 19-DCC-216 of November 22, 2019  </w:t>
        <w:br/>
        <w:t xml:space="preserve">regarding the exclusive control acquisition by the company Financière  </w:t>
        <w:br/>
        <w:t xml:space="preserve">Immobilière Bordelaise of the companies Legal and Innov Café  </w:t>
        <w:br/>
        <w:t xml:space="preserve">The Competition Authority,  </w:t>
        <w:br/>
        <w:t xml:space="preserve">Having regard to the notification file sent to the mergers department on October 14, 2019, and declared complete on October 25, 2019, concerning the exclusive control acquisition by the company Financière Immobilière Bordelaise of the company Legal and its subsidiary Innov Café, formalized by a countersigned offer letter dated September 4, 2019;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Financière Immobilière Bordelaise of the company Legal and its subsidiary Innov Café. It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the markets for the production and marketing of coffee, which are consistently defined by the decision-making practice of the Competition Authority.  </w:t>
        <w:br/>
        <w:t xml:space="preserve">3. Regardless of the segmentations retained, the market shares of the parties are below 30%, the activities being located in upstream, downstream, or related markets.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Single Article: The operation notified under number 19-261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