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https://www.autoritedelaconcurrence.fr/fr/decision-de-controle-des-concentrations/relative-la-prise-de-controle-exclusif-par-la-societe-48</w:t>
      </w:r>
    </w:p>
    <w:p>
      <w:r>
        <w:t>Pages translated : 2</w:t>
      </w:r>
    </w:p>
    <w:p/>
    <w:p>
      <w:r>
        <w:rPr>
          <w:b/>
        </w:rPr>
        <w:t>[Pages 1–2]</w:t>
      </w:r>
    </w:p>
    <w:p>
      <w:r>
        <w:t xml:space="preserve">FRENCH REPUBLIC  </w:t>
        <w:br/>
        <w:t xml:space="preserve">Decision No. 19-DCC-239 of December 12, 2019  </w:t>
        <w:br/>
        <w:t xml:space="preserve">regarding the exclusive control acquisition by the company Franprix Leader Price Holding of the companies Capdis and Holding Mag Spring  </w:t>
        <w:br/>
        <w:t xml:space="preserve">The Competition Authority,  </w:t>
        <w:br/>
        <w:t xml:space="preserve">Having regard to the complete notification file submitted to the mergers department on November 13, 2019, concerning the exclusive control acquisition by the company Franprix Leader Price Holding of the companies Capdis and Holding Mag Spring, formalized by a memorandum of understanding dated July 29,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Franprix Leader Price Holding of the companies Capdis and Holding Mag Spring, which operate 198 retail outlets primarily focused on food under the Casino group brands, with a sales area ranging from 62 m² to 2,753 m², located in Île-de-France and in the provinces.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19-258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