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https://www.autoritedelaconcurrence.fr/fr/decision-de-controle-des-concentrations/relative-la-prise-de-controle-exclusif-par-la-societe-49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19-DCC-249 of December 11, 2019  </w:t>
        <w:br/>
        <w:t xml:space="preserve">regarding the exclusive control acquisition by Naxicap Partners  </w:t>
        <w:br/>
        <w:t xml:space="preserve">of assets from the Emera group  </w:t>
        <w:br/>
        <w:t xml:space="preserve">The Competition Authority,  </w:t>
        <w:br/>
        <w:t xml:space="preserve">Having regard to the complete notification file sent to the mergers department on November 8, 2019,  </w:t>
        <w:br/>
        <w:t xml:space="preserve">concerning the exclusive control acquisition by Naxicap Partners of assets from the Emera group,  </w:t>
        <w:br/>
        <w:t xml:space="preserve">formalized by a purchase agreement dated July 24,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by Naxicap Partners  </w:t>
        <w:br/>
        <w:t xml:space="preserve">of 74 companies owned by the Emera group, [confidential]. It constitutes a concentration  </w:t>
        <w:br/>
        <w:t xml:space="preserve">within the meaning of Article L. 430-1 of the Commercial Code. Given the turnover generated  </w:t>
        <w:br/>
        <w:t xml:space="preserve">by the companies concerned, the operation does not fall under the jurisdiction of the European Union.  </w:t>
        <w:br/>
        <w:t xml:space="preserve">On the other hand, the control thresholds mentioned in I of Article L. 430-2 of the Commercial Code  </w:t>
        <w:br/>
        <w:t xml:space="preserve">are exceeded. This operation is therefore subject to the provisions of Articles L. 430-3 and following  </w:t>
        <w:br/>
        <w:t xml:space="preserve">of the Commercial Code relating to economic concentration.  </w:t>
        <w:br/>
        <w:t xml:space="preserve">2. The markets primarily concerned by the operation are those of accommodation for  </w:t>
        <w:br/>
        <w:t xml:space="preserve">the elderly and real estate services, which are consistently defined by the decision-making practice  </w:t>
        <w:br/>
        <w:t xml:space="preserve">of the competition authorities.  </w:t>
        <w:br/>
        <w:t xml:space="preserve">3. Regardless of the segmentation considered, the combined market shares of the parties are  </w:t>
        <w:br/>
        <w:t xml:space="preserve">below 25%. They are below 30% when their activities present a vertical link.  </w:t>
        <w:br/>
        <w:t xml:space="preserve">4. Given the elements of the file and in particular in light of point 384 of the guidelines of  </w:t>
        <w:br/>
        <w:t xml:space="preserve">the Competition Authority regarding the control of concentrations, the operation is not likely  </w:t>
        <w:br/>
        <w:t>to harm competition.</w:t>
      </w:r>
    </w:p>
    <w:p>
      <w:r>
        <w:t xml:space="preserve">DECIDES  </w:t>
        <w:br/>
        <w:t xml:space="preserve">Sole Article: The operation notified under number 19-253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