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12-DCC-146 of October 11, 2012  </w:t>
        <w:br/>
        <w:t xml:space="preserve">regarding the exclusive control acquisition by the company Amidis et  </w:t>
        <w:br/>
        <w:t xml:space="preserve">Compagnie, a subsidiary of Carrefour, of the company Varjea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September 20, 2012, concerning the exclusive control acquisition of the company Varjea by the company  </w:t>
        <w:br/>
        <w:t xml:space="preserve">Amidis et Compagnie, a subsidiary of Carrefour, materialized by a protocol for the transfer of social rights  </w:t>
        <w:br/>
        <w:t xml:space="preserve">under suspensive conditions dated September 17,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Varjea, which operates  </w:t>
        <w:br/>
        <w:t xml:space="preserve">a retail business predominantly in food under the Carrefour brand with a surface area of 3,487 m2 in Connerré (72), by the company Amidis et Compagnie, a subsidiary of Carrefour.  </w:t>
        <w:br/>
        <w:t xml:space="preserve">It constitutes a concentration operation within the meaning of Article L. 430-1 of the Commercial Code. Given the turnover achieved by the concerned companies,  </w:t>
        <w:br/>
        <w:t xml:space="preserve">the operation does not have a community dimension. On the other hand, the control thresholds  </w:t>
        <w:br/>
        <w:t xml:space="preserve">related to retail trade mentioned in point II of Article L. 430-2 of the Commercial Code are exceeded. The present operation is therefore subject to the provisions of Articles  </w:t>
        <w:br/>
        <w:t xml:space="preserve">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12-154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