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https://www.autoritedelaconcurrence.fr/fr/decision-de-controle-des-concentrations/relative-la-prise-de-controle-exclusif-par-la-societe-51</w:t>
      </w:r>
    </w:p>
    <w:p>
      <w:r>
        <w:t>Pages translated : 2</w:t>
      </w:r>
    </w:p>
    <w:p/>
    <w:p>
      <w:r>
        <w:rPr>
          <w:b/>
        </w:rPr>
        <w:t>[Pages 1–2]</w:t>
      </w:r>
    </w:p>
    <w:p>
      <w:r>
        <w:t xml:space="preserve">FRENCH REPUBLIC  </w:t>
        <w:br/>
        <w:t xml:space="preserve">Decision No. 20-DCC-25 of February 19, 2020  </w:t>
        <w:br/>
        <w:t xml:space="preserve">regarding the exclusive control acquisition by the company Holding Famille Trujas of an automobile dealership business  </w:t>
        <w:br/>
        <w:t xml:space="preserve">The Competition Authority,  </w:t>
        <w:br/>
        <w:t xml:space="preserve">Having regard to the complete notification file sent to the mergers department on January 22, 2020, concerning the exclusive control acquisition by the company Holding Famille Trujas of an automobile dealership business, formalized by a synallagmatic promise of sale of business assets dated December 16, 2019;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Holding Famille Trujas of an automobile dealership business under the Peugeot brand belonging to the company Sireine Auto Bourg-la-Reine, located in the department of Hauts-de-Seine (92). It constitutes a concentration operation within the meaning of Article L. 430-1 of the Commercial Code. Given the turnover generated by the companies concerned, the operation does not fall under the jurisdiction of the European Union.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20-024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