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https://www.autoritedelaconcurrence.fr/fr/decision-de-controle-des-concentrations/relative-la-prise-de-controle-exclusif-par-la-societe-52</w:t>
      </w:r>
    </w:p>
    <w:p>
      <w:r>
        <w:t>Pages translated : 2</w:t>
      </w:r>
    </w:p>
    <w:p/>
    <w:p>
      <w:r>
        <w:rPr>
          <w:b/>
        </w:rPr>
        <w:t>[Pages 1–2]</w:t>
      </w:r>
    </w:p>
    <w:p>
      <w:r>
        <w:t xml:space="preserve">FRENCH REPUBLIC  </w:t>
        <w:br/>
        <w:t xml:space="preserve">Decision No. 20-DCC-56 of April 20, 2020  </w:t>
        <w:br/>
        <w:t xml:space="preserve">regarding the exclusive control acquisition by the company Franprix Leader Price Holding (Casino Group) of 34 retail stores with a food focus  </w:t>
        <w:br/>
        <w:t xml:space="preserve">The Competition Authority,  </w:t>
        <w:br/>
        <w:t xml:space="preserve">Having regard to the complete notification file sent to the mergers department on March 26, 2020, concerning the exclusive control acquisition of 34 retail stores with a food focus by the company Franprix Leader Price Holding, formalized by a memorandum of understanding dated June 22, 2018, and by the exercise letter of the sales promise concerning the shares of Jadasag Finance dated January 30, 2020;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Franprix Leader Price Holding SAS of 34 retail stores with a food focus under the brands of the Casino Group that were previously held by the company Jadasag Finance, with a sales area exceeding 120 m², located in Ile de France and in the provinces. It constitutes a concentration operation within the meaning of Article L. 430-1 of the Commercial Code. In application of point 88 of the guidelines of the Competition Authority regarding the control of concentrations, and considering the turnover achieved by the concerned companies, the operation does not fall under the jurisdiction of the European Union. On the other hand, the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20-037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