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https://www.autoritedelaconcurrence.fr/fr/decision-de-controle-des-concentrations/relative-la-prise-de-controle-exclusif-par-la-societe-53</w:t>
      </w:r>
    </w:p>
    <w:p>
      <w:r>
        <w:t>Pages translated : 2</w:t>
      </w:r>
    </w:p>
    <w:p/>
    <w:p>
      <w:r>
        <w:rPr>
          <w:b/>
        </w:rPr>
        <w:t>[Pages 1–2]</w:t>
      </w:r>
    </w:p>
    <w:p>
      <w:r>
        <w:t>FRENCH REPUBLIC</w:t>
        <w:br/>
        <w:t>Decision No. 19-DCC-66 of April 12, 2019</w:t>
        <w:br/>
        <w:t>regarding the exclusive control acquisition by the company Coopérative U Enseigne of the companies Midis, Discolombe, and Immobilière Midis</w:t>
        <w:br/>
        <w:t>The Competition Authority,</w:t>
      </w:r>
    </w:p>
    <w:p>
      <w:r>
        <w:t>Having regard to the complete notification file submitted to the mergers department on March 8, 2019, concerning the exclusive control acquisition of the companies Midis, Discolombe, and Immobilière Midis by the company Coopérative U Enseigne, and formalized by a conditional transfer agreement dated December 21, 2018;</w:t>
      </w:r>
    </w:p>
    <w:p>
      <w:r>
        <w:t>Having regard to Book IV of the Commercial Code relating to the freedom of prices and competition, and in particular its Articles L. 430-1 to L. 430-7;</w:t>
      </w:r>
    </w:p>
    <w:p>
      <w:r>
        <w:t>Having regard to the additional elements provided by the notifying party during the investigation;</w:t>
      </w:r>
    </w:p>
    <w:p>
      <w:r>
        <w:t>Adopts the following decision:</w:t>
        <w:br/>
        <w:t>1. The notified operation consists of the exclusive control acquisition by the company Coopérative U Enseigne of the companies Midis, Discolombe, and Immobilière Midis, which operate a food-dominant retail outlet of the hypermarket type with a gas station under the Super U brand, with an area of 3,200 m² and located in Colombe (38). It constitutes a concentration operation within the meaning of Article L. 430-1 of the Commercial Code. Given the turnover generated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19-069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