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https://www.autoritedelaconcurrence.fr/fr/decision-de-controle-des-concentrations/relative-la-prise-de-controle-exclusif-par-la-societe-54</w:t>
      </w:r>
    </w:p>
    <w:p>
      <w:r>
        <w:t>Pages translated : 2</w:t>
      </w:r>
    </w:p>
    <w:p/>
    <w:p>
      <w:r>
        <w:rPr>
          <w:b/>
        </w:rPr>
        <w:t>[Pages 1–2]</w:t>
      </w:r>
    </w:p>
    <w:p>
      <w:r>
        <w:t xml:space="preserve">FRENCH REPUBLIC  </w:t>
        <w:br/>
        <w:t xml:space="preserve">Decision No. 20-DCC-135 of October 7, 2020  </w:t>
        <w:br/>
        <w:t xml:space="preserve">regarding the exclusive control acquisition by the company Centrale  </w:t>
        <w:br/>
        <w:t xml:space="preserve">Automobile Strasbourg of three automobile distribution business assets belonging to the company Renault Retail Group  </w:t>
        <w:br/>
        <w:t xml:space="preserve">The Competition Authority,  </w:t>
        <w:br/>
        <w:t xml:space="preserve">Having regard to the complete notification file sent to the mergers department on  </w:t>
        <w:br/>
        <w:t xml:space="preserve">September 16, 2020, concerning the exclusive control acquisition by the company Centrale Automobile Strasbourg (hereinafter "CAS") of three automobile distribution business assets belonging to the company Renault Retail Group (hereinafter "RRG"), formalized by a letter of intent dated July 24, 2020;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company CAS of three automobile distribution business assets belonging to the company RRG. These business assets comprise five automobile dealerships, distributing the brands Renault, Dacia, and Alpine, located in Montbéliard (25), Illkirch Graffenstaden (67), Strasbourg (67), Illzach (68), and Belfort (90).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20-144 is authorized.  </w:t>
        <w:br/>
        <w:t xml:space="preserve">The Vice-President,  </w:t>
        <w:br/>
        <w:t xml:space="preserve">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