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https://www.autoritedelaconcurrence.fr/fr/decision-de-controle-des-concentrations/relative-la-prise-de-controle-exclusif-par-la-societe-56</w:t>
      </w:r>
    </w:p>
    <w:p>
      <w:r>
        <w:t>Pages translated : 6</w:t>
      </w:r>
    </w:p>
    <w:p/>
    <w:p>
      <w:r>
        <w:rPr>
          <w:b/>
        </w:rPr>
        <w:t>[Pages 1–3]</w:t>
      </w:r>
    </w:p>
    <w:p>
      <w:r>
        <w:t xml:space="preserve">FRENCH REPUBLIC  </w:t>
        <w:br/>
        <w:t xml:space="preserve">Decision No. 20-DCC-180 of December 14, 2020  </w:t>
        <w:br/>
        <w:t xml:space="preserve">concerning the exclusive control by Logicare of a  </w:t>
        <w:br/>
        <w:t xml:space="preserve">motor vehicle distribution business  </w:t>
        <w:br/>
        <w:t xml:space="preserve">The Competition Authority,  </w:t>
        <w:br/>
        <w:t xml:space="preserve">Having regard to the notification file submitted in full to the concentrations service on November 20, 2020, concerning the exclusive control by Logicare of a motor vehicle distribution business belonging to Compagnie Automobile des Mascareignes, formalized by a transfer agreement dated April 30, 2020;  </w:t>
        <w:br/>
        <w:t xml:space="preserve">Having regard to Book IV of the Commercial Code concerning price freedom and competition, and in particular Articles L. 430-1 to L. 430-7;  </w:t>
        <w:br/>
        <w:t xml:space="preserve">Having regard to the elements submitted by the parties during the investigation;  </w:t>
        <w:br/>
        <w:t xml:space="preserve">Adopts the following decision:  </w:t>
        <w:br/>
        <w:t xml:space="preserve">I. The concerned companies and the operation  </w:t>
        <w:br/>
        <w:t xml:space="preserve">1. The company Logicare (hereinafter, "Logicare") is a simplified joint-stock company active in the motor vehicle distribution sector in Réunion, where it distributes the Peugeot and DS brands. It is controlled by the Caillé Group, which is itself controlled by the Caillé family. The Caillé Group is active in the sectors of motor vehicle distribution and food distribution in Réunion and Mayotte.  </w:t>
        <w:br/>
        <w:t xml:space="preserve">2. The target is a motor vehicle distribution business currently operated by Compagnie Automobile des Mascareignes (hereinafter "Compagnie Automobile des Mascareignes"), which is active in the motor vehicle distribution sector in Réunion. Compagnie Automobile des Mascareignes distributes, in particular, the Honda, Nissan, Opel, and Seat brands. The target business distributes the Opel and Vauxhall brands from premises currently located in Sainte-Clotilde, Saint-Pierre, Saint-Paul, and Saint-André. However, the operating premises of the target are not concerned by the operation; the business will be operated from premises located in Saint-Denis and Saint-Pierre.  </w:t>
        <w:br/>
        <w:t>3. The operation, formalized by a memorandum of understanding between the parties dated April 30, 2020, consists of the acquisition by Logicare of the target business.</w:t>
      </w:r>
    </w:p>
    <w:p>
      <w:r>
        <w:t xml:space="preserve">4. As it results in Logicare's exclusive control over the target business, the notified operation constitutes a concentration within the meaning of Article L. 430-1 of the Commercial Code.  </w:t>
        <w:br/>
        <w:t xml:space="preserve">5. The companies concerned together achieve a total worldwide turnover of more than 75 million euros (Caillé group: [≥ 75 million] euros for the fiscal year ending December 31, 2019; target: [≤ 75 million] euros for the same fiscal year). Each of these companies achieves a turnover in retail trade in Réunion exceeding 5 million euros (Caillé group: [≥ 5 million] euros for the fiscal year ending December 31, 2019; target: [≥ 5 million] euros for the same fiscal year). Given these turnovers, the operation does not have a European dimension. However, the control thresholds mentioned in III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Decision-making practice distinguishes seven markets within the retail distribution and motor vehicle repair sector (A). The geographical delimitation of these markets has been redefined in the context of this operation (B).  </w:t>
        <w:br/>
        <w:t xml:space="preserve">A. PRODUCT MARKETS  </w:t>
        <w:br/>
        <w:t xml:space="preserve">7. The seven markets defined by national decision-making practice in the motor vehicle distribution sector are:  </w:t>
        <w:br/>
        <w:t xml:space="preserve">i. the market for the distribution of new passenger motor vehicles intended for private customers;  </w:t>
        <w:br/>
        <w:t xml:space="preserve">ii. the market for the distribution of new passenger motor vehicles intended for professional customers;  </w:t>
        <w:br/>
        <w:t xml:space="preserve">iii. the market for the distribution of commercial motor vehicles;  </w:t>
        <w:br/>
        <w:t xml:space="preserve">iv. the market for the distribution of used motor vehicles;  </w:t>
        <w:br/>
        <w:t xml:space="preserve">v. the market for the distribution of spare parts and automotive accessories;  </w:t>
        <w:br/>
        <w:t xml:space="preserve">vi. the market for the distribution of maintenance and repair services for motor vehicles;  </w:t>
        <w:br/>
        <w:t xml:space="preserve">vii. the market for the distribution of rental services.  </w:t>
        <w:br/>
        <w:t xml:space="preserve">8. National decision-making practice does not consider any sub-segmentation of these markets, nor based on the nature of the products distributed (for example by brand or category of vehicles for markets (i) to (iv)), nor based on the characteristics of the sales outlets held by the distribution networks.  </w:t>
        <w:br/>
        <w:t xml:space="preserve">9. There is no need to challenge this segmentation in this case. In this instance, the parties are active in markets 1 to 6.  </w:t>
        <w:br/>
        <w:t xml:space="preserve">B. GEOGRAPHIC MARKETS  </w:t>
        <w:br/>
        <w:t xml:space="preserve">10. For all these markets, decision-making practice retains a local dimension. Since decision No. 19-DCC-42 of March 12, 2019, concerning the joint control acquisition by Emil Frey Motors France and Fiber of Bernard Participations SAS, in the mainland, the analysis is conducted based on isochrone zones corresponding to a travel time of 30, 45, or 60 minutes by car around the considered sales outlet, depending on the market, the question of the exact delimitation of these markets having been left open for markets 5 to 7. The Authority has also specified, in its previous decisions, that depending on the circumstances of the case and in particular the local geographical characteristics, it may delimit catchment areas taking these specificities into account, and thus analyze the actual footprint of the considered sales outlets.  </w:t>
        <w:br/>
        <w:t xml:space="preserve">11. The aforementioned decision only conducted an analysis on the metropolitan territory, the question of the relevance of these geographical delimitations concerning the department of Réunion has been the subject of detailed investigation in this case. The competitors of the parties were asked to express their views on the adequacy of the geographical delimitations resulting from decision-making practice in the mainland for the Réunion territory. The majority of them indicated that the geographical market delimitation retained in the mainland was also adequate for the department of Réunion. Such an analysis is, moreover, consistent with the decision-making practice applicable in the retail trade with a dominant food component, since, in this market, at the geographical level, no distinction is made based on whether the sales outlet is located in the mainland or in the DROM.  </w:t>
        <w:br/>
        <w:t xml:space="preserve">12. Consequently, the Authority considers that the markets for the retail distribution of motor vehicles should be analyzed based on the following isochrone zones:  </w:t>
        <w:br/>
        <w:t xml:space="preserve">i. for the market for the distribution of new passenger motor vehicles intended for private customers, within a 45-minute driving area around the considered point of sale;  </w:t>
        <w:br/>
        <w:t xml:space="preserve">ii. for the market for the distribution of new passenger motor vehicles intended for professional customers, within a 60-minute driving area around the considered point of sale;  </w:t>
        <w:br/>
        <w:t xml:space="preserve">iii. for the market for the distribution of commercial motor vehicles, within a 45-minute driving area around the considered point of sale;  </w:t>
        <w:br/>
        <w:t xml:space="preserve">2 See decision No. 19-DCC-42 of March 12, 2019, concerning the joint control acquisition by Emil Frey Motors France and Fiber of Bernard Participations SAS.  </w:t>
        <w:br/>
        <w:t xml:space="preserve">3 3 operators out of 4 competing operators generally confirmed this practice. The last operator indicated that the area could be reduced to 30 minutes since a Réunion consumer is generally located within 30 minutes of at least one dealership. Such reasoning not being based on a substitutability analysis, it should be dismissed. The analysis will therefore rely solely on the responses of the other three competitors.  </w:t>
        <w:br/>
        <w:t>4 Regarding this market, one of the competitors surveyed estimated that a catchment area of 45 minutes or less around the considered point of sale would be relevant in Réunion, without providing further concrete elements allowing the Authority to assess its response.</w:t>
      </w:r>
    </w:p>
    <w:p>
      <w:r>
        <w:rPr>
          <w:b/>
        </w:rPr>
        <w:t>[Pages 4–6]</w:t>
      </w:r>
    </w:p>
    <w:p>
      <w:r>
        <w:t xml:space="preserve">iv. for the market of used motor vehicle distribution, within a 45-minute driving area around the considered point of sale;  </w:t>
        <w:br/>
        <w:t xml:space="preserve">v. for the market of distribution of spare parts and automotive accessories, within a 30 to 45-minute driving area around the considered point of sale;  </w:t>
        <w:br/>
        <w:t xml:space="preserve">vi. for the market of distribution of maintenance and repair services for motor vehicles within a 30 to 45-minute driving area around the considered point of sale;  </w:t>
        <w:br/>
        <w:t xml:space="preserve">vii. for the market of distribution of rental services within a 30 to 45-minute driving area around the considered point of sale.  </w:t>
        <w:br/>
        <w:t xml:space="preserve">13. This analysis may be supplemented, if necessary, based on the geographical characteristics of the area and the specific needs of the case, by an analysis of the actual footprint of the considered sales outlets.  </w:t>
        <w:br/>
        <w:t xml:space="preserve">14. In this instance, the Authority therefore conducted an analysis of the effects of the operation within isochrone zones of 30, 45, or 60 minutes around the locations of operation of the target business, depending on the market considered.  </w:t>
        <w:br/>
        <w:t xml:space="preserve">III. Competitive Analysis  </w:t>
        <w:br/>
        <w:t xml:space="preserve">A. METHODOLOGY ADOPTED  </w:t>
        <w:br/>
        <w:t xml:space="preserve">15. As a preliminary point, it should be noted that following the operation, the target business will be operated from premises different from those in which it was previously operated, which will be located in Saint-Denis and Saint-Pierre.  </w:t>
        <w:br/>
        <w:t xml:space="preserve">16. For markets 1 to 4, the parties provided the list of active sales outlets in these markets within the relevant catchment areas around the location of the target concessions. In accordance with its decision-making practice, the Authority estimated the position of the parties based on the number of sales outlets.  </w:t>
        <w:br/>
        <w:t xml:space="preserve">17. The Authority proceeded similarly in its analysis of markets 5 and 6, also taking into account the competitive pressure exerted on the parties' sales outlets by independent garages and repairers. It also considered the competition posed by specialized brands such as Speedy, Norauto, Midas, or Feu Vert, which may offer consumers identical or equivalent quality spare parts and accessories, as well as maintenance and repair services for motor vehicles similar to those distributed by the parties.  </w:t>
        <w:br/>
        <w:t xml:space="preserve">B. ANALYSIS OF HORIZONTAL EFFECTS  </w:t>
        <w:br/>
        <w:t>18. The business subject to the present operation will be operated in two concessions, one located in Saint-Denis (974) and the other in Saint-Pierre (974). The operation entails overlaps in activities in these two areas.</w:t>
      </w:r>
    </w:p>
    <w:p>
      <w:r>
        <w:t xml:space="preserve">1. Saint-Denis Area  </w:t>
        <w:br/>
        <w:t xml:space="preserve">19. In this area, regarding markets 1 to 4, the market share of the new entity will not exceed 25%, regardless of the market concerned.  </w:t>
        <w:br/>
        <w:t xml:space="preserve">20. Regarding markets 5 and 6, the new entity will continue to face competition in the area from authorized repairers, brand agents, small independent garages, and large structured companies that offer maintenance and repair services for motor vehicles or industrial vehicles of equivalent quality to those offered by the parties or that distribute spare parts and automotive accessories.  </w:t>
        <w:br/>
        <w:t>21. The notified operation is therefore not likely to raise competition concerns due to its horizontal effects in this area.</w:t>
      </w:r>
    </w:p>
    <w:p>
      <w:r>
        <w:t xml:space="preserve">2. Saint-Pierre Area  </w:t>
        <w:br/>
        <w:t xml:space="preserve">22. In this area, regarding markets 1 to 4, the market share of the new entity will not exceed 25%, regardless of the market concerned.  </w:t>
        <w:br/>
        <w:t xml:space="preserve">23. Regarding markets 5 and 6, the new entity will continue to face competition in the area from authorized repairers, brand agents, small independent garages, and large structured companies that offer maintenance and repair services for motor vehicles or industrial vehicles of equivalent quality to those offered by the parties or that distribute spare parts and automotive accessories.  </w:t>
        <w:br/>
        <w:t xml:space="preserve">24. The notified operation is therefore not likely to raise competition concerns due to its horizontal effects in this area.  </w:t>
        <w:br/>
        <w:t>25. It follows from the above that the notified operation is not likely to raise competition concerns in the automotive distribution markets.</w:t>
      </w:r>
    </w:p>
    <w:p>
      <w:r>
        <w:t xml:space="preserve">DECIDES  </w:t>
        <w:br/>
        <w:t xml:space="preserve">Sole Article: The operation notified under number 20-166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