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https://www.autoritedelaconcurrence.fr/fr/decision-de-controle-des-concentrations/relative-la-prise-de-controle-exclusif-par-la-societe-57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22-DCC-241 of December 16, 2022</w:t>
        <w:br/>
        <w:t>regarding the exclusive control acquisition by Groupe Neubauer,</w:t>
        <w:br/>
        <w:t>of the company Duffort Saint-Germain en Laye</w:t>
        <w:br/>
        <w:t>The Competition Authority,</w:t>
        <w:br/>
        <w:t>Having regard to the complete notification file submitted to the mergers department on November 25,</w:t>
        <w:br/>
        <w:t>2022, concerning the exclusive control acquisition by Groupe Neubauer, of the company Duffort</w:t>
        <w:br/>
        <w:t>Saint-Germain en Laye formalized by a share transfer agreement dated October 28, 2022;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Groupe Neubauer</w:t>
        <w:br/>
        <w:t>of the company Duffort Saint-Germain en Laye, active in the automobile distribution sector</w:t>
        <w:br/>
        <w:t>in the Yvelines department (78). It constitutes a concentration operation within the meaning</w:t>
        <w:br/>
        <w:t>of Article L. 430-1 of the Commercial Code. Given the turnover achieved by the</w:t>
        <w:br/>
        <w:t>concerned companies, the operation does not fall under the jurisdiction of the European Union. However, the control thresholds related to retail trade mentioned in II of Article</w:t>
        <w:br/>
        <w:t>L. 430-2 of the Commercial Code are exceeded. The present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22-277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