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https://www.autoritedelaconcurrence.fr/fr/decision-de-controle-des-concentrations/relative-la-prise-de-controle-exclusif-par-la-societe-58</w:t>
      </w:r>
    </w:p>
    <w:p>
      <w:r>
        <w:t>Pages translated : 2</w:t>
      </w:r>
    </w:p>
    <w:p/>
    <w:p>
      <w:r>
        <w:rPr>
          <w:b/>
        </w:rPr>
        <w:t>[Pages 1–2]</w:t>
      </w:r>
    </w:p>
    <w:p>
      <w:r>
        <w:t xml:space="preserve">FRENCH REPUBLIC  </w:t>
        <w:br/>
        <w:t xml:space="preserve">Decision No. 23-DCC-122 of June 19, 2023  </w:t>
        <w:br/>
        <w:t xml:space="preserve">regarding the exclusive control acquisition by the company  </w:t>
        <w:br/>
        <w:t xml:space="preserve">Coopérative U Enseigne of the company HU RVL  </w:t>
        <w:br/>
        <w:t xml:space="preserve">The Competition Authority,  </w:t>
        <w:br/>
        <w:t xml:space="preserve">Having regard to the complete notification file sent to the mergers department on June 1, 2023,  </w:t>
        <w:br/>
        <w:t xml:space="preserve">concerning the exclusive control acquisition of the company HU RVL and the entire real estate in  </w:t>
        <w:br/>
        <w:t xml:space="preserve">which the latter operates a predominantly food distribution business, by the company Coopérative U Enseigne, formalized by a letter of agreement dated January 24,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w:t>
        <w:br/>
        <w:t xml:space="preserve">Coopérative U Enseigne of the company HU RVL and the entire real estate located in Reims (51)  </w:t>
        <w:br/>
        <w:t xml:space="preserve">in which the latter operates a predominantly food distribution business of the hypermarket type with an area of 6,500 m².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23-065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