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https://www.autoritedelaconcurrence.fr/fr/decision-de-controle-des-concentrations/relative-la-prise-de-controle-exclusif-par-la-societe-61</w:t>
      </w:r>
    </w:p>
    <w:p>
      <w:r>
        <w:t>Pages translated : 2</w:t>
      </w:r>
    </w:p>
    <w:p/>
    <w:p>
      <w:r>
        <w:rPr>
          <w:b/>
        </w:rPr>
        <w:t>[Pages 1–2]</w:t>
      </w:r>
    </w:p>
    <w:p>
      <w:r>
        <w:t xml:space="preserve">FRENCH REPUBLIC  </w:t>
        <w:br/>
        <w:t xml:space="preserve">Decision No. 25-DCC-197 of August 22, 2025  </w:t>
        <w:br/>
        <w:t>regarding the exclusive control acquisition by the company Emagine Consulting of the companies High’Consulting, HighTeam, and HighTeam Grand Sud</w:t>
      </w:r>
    </w:p>
    <w:p>
      <w:r>
        <w:t>The Competition Authority,</w:t>
      </w:r>
    </w:p>
    <w:p>
      <w:r>
        <w:t>Having regard to the complete notification file submitted to the mergers department on July 30, 2025, concerning the exclusive control acquisition of the companies High’Consulting, HighTeam, and HighTeam Grand Sud by the company Emagine Consulting, formalized by a share acquisition agreement dated July 4, 2025;</w:t>
      </w:r>
    </w:p>
    <w:p>
      <w:r>
        <w:t>Having regard to Book IV of the Commercial Code relating to the freedom of prices and competition, and in particular its Articles L. 430-1 to L. 430-7;</w:t>
      </w:r>
    </w:p>
    <w:p>
      <w:r>
        <w:t>Having regard to the other documents in the file;</w:t>
      </w:r>
    </w:p>
    <w:p>
      <w:r>
        <w:t>Adopts the following decision:</w:t>
      </w:r>
    </w:p>
    <w:p>
      <w:r>
        <w:t>1. The notified operation consists of the exclusive control acquisition of the companies High’Consulting, HighTeam, and HighTeam Grand Sud by the company Emagine Consulting, controlled by the investment fund Axcel VI Fund, which is itself owned by the company Axcel Management Holding. The companies High’Consulting, HighTeam, and HighTeam Grand Sud are specialized in the field of providing IT services. The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25-199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