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12-DCC-169 of December 3, 2012  </w:t>
        <w:br/>
        <w:t xml:space="preserve">regarding the exclusive control acquisition by the company Amidis et Cie  </w:t>
        <w:br/>
        <w:t xml:space="preserve">(Carrefour Group) of the company Jupilou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2, 2012, concerning the exclusive control acquisition of the company Jupilou by the company  </w:t>
        <w:br/>
        <w:t xml:space="preserve">Amidis et Cie, (Carrefour Group), materialized by a protocol of transfer of social rights  </w:t>
        <w:br/>
        <w:t xml:space="preserve">under suspensive conditions dated October 29,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Jupilou, which operates  </w:t>
        <w:br/>
        <w:t xml:space="preserve">a retail business predominantly in food under the Carrefour brand with a surface area of 3,500 m2 in Créon (33), by the company Amidis et Cie (Carrefour Group). It  </w:t>
        <w:br/>
        <w:t xml:space="preserve">constitutes a concentration operation within the meaning of Article L. 430-1 of the Commercial Code.  </w:t>
        <w:br/>
        <w:t xml:space="preserve">Considering the turnover achieved by the concerned companies, the operation does not  </w:t>
        <w:br/>
        <w:t xml:space="preserve">have a community dimension. On the other hand, the control thresholds related to  </w:t>
        <w:br/>
        <w:t xml:space="preserve">retail trade mentioned in point II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12-178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