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https://www.autoritedelaconcurrence.fr/fr/decision-de-controle-des-concentrations/relative-la-prise-de-controle-exclusif-par-la-societe-8</w:t>
      </w:r>
    </w:p>
    <w:p>
      <w:r>
        <w:t>Pages translated : 7</w:t>
      </w:r>
    </w:p>
    <w:p/>
    <w:p>
      <w:r>
        <w:rPr>
          <w:b/>
        </w:rPr>
        <w:t>[Pages 1–3]</w:t>
      </w:r>
    </w:p>
    <w:p>
      <w:r>
        <w:t xml:space="preserve">FRENCH REPUBLIC  </w:t>
        <w:br/>
        <w:t xml:space="preserve">Decision No. 12-DCC-65 of May 22, 2012  </w:t>
        <w:br/>
        <w:t>regarding the exclusive control by the company Mosaic Services SASU of the companies Heytens Centrale SA, Decofra SA, Decobelge SA, Decor Heytens SA and their subsidiaries</w:t>
      </w:r>
    </w:p>
    <w:p>
      <w:r>
        <w:t xml:space="preserve">The Competition Authority,  </w:t>
        <w:br/>
        <w:t xml:space="preserve">Having regard to the notification file sent to the merger service on March 13, 2012, and declared complete on April 13, 2012, concerning the acquisition by the Ariane group, via the company Mosaic Services SASU, of the companies Heytens Centrale SA, Decofra SA, Decobelge SA, Decor Heytens SA and their subsidiaries (hereinafter "the Heytens group" or "the target companies"), [Confidential];  </w:t>
        <w:br/>
        <w:t xml:space="preserve">Having regard to Book IV of the Commercial Code relating to price freedom and competition, and in particular its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The company Mosaic Services SASU is a company controlled by the Ariane group. The Ariane group is a French family group whose parent company, Ariane SA, is controlled by Mr. X, who holds […] % of the shares in usufruct and exercises alone the voting rights attached to the shares whose ownership is dismembered. The Ariane group holds controlling interests in companies active in various sectors such as real estate development, food distribution, the manufacture and distribution of artisanal ice creams, the manufacture of chocolate decorations, as well as professional training for middle management. The Ariane group is also present in the home decoration sector through the company Isambourg, which retails decoration and bazaar products for festive events (weddings, religious celebrations) through 14 stores under the "Isambourg" brand.  </w:t>
        <w:br/>
        <w:t xml:space="preserve">2. The Heytens group is controlled by the investment company Sandinvest SA, which is itself indirectly controlled by the investment fund Apax Partners. The Heytens group is specialized in the retail sale of interior decoration products under the brand "Heytens." The Heytens group mainly offers window decoration products and accessories (curtains, blinds, and curtain rods) and other fabric products (cushions, bedspreads, headboards, chair covers, etc.) as well as lighting, wallpaper, wall paint, and rugs. The Heytens group operates a network of 157 stores (branches and franchises) including 89 in France, 52 in Belgium, 6 in Switzerland, 2 in Luxembourg, and 8 corners in Spain. The Heytens group is also active in distance selling via its website www.heytens.com.  </w:t>
        <w:br/>
        <w:t xml:space="preserve">3. The notified operation consists of the acquisition of the entire share capital and voting rights of the companies Heytens Centrale SA, Decofra SA, Decobelge SA, Decor Heytens SA and their subsidiaries by the company Mosaic Services SASU. The notified operation thus results in the exclusive control by the Ariane group of the Heytens group, which constitutes a concentration within the meaning of Article L. 430-1 of the Commercial Code.  </w:t>
        <w:br/>
        <w:t>4. The concerned companies together achieved a consolidated turnover excluding taxes worldwide of more than 150 million euros in 2010 (the Ariane group: […] million euros; the Heytens group: […] million euros). Each of these companies achieved, in France, a turnover exceeding 50 million euros in 2010 (the Ariane group: […] million euros; the Heytens group: […] million euros). Given these turnover figures, the operation does not have a European dimension. However, the control thresholds mentioned in II of Article L. 430-2 of the Commercial Code relating to retail trade are exceeded. This operation is therefore subject to the provisions of Articles L. 430-3 and following of the Commercial Code relating to economic concentration.</w:t>
      </w:r>
    </w:p>
    <w:p>
      <w:r>
        <w:t xml:space="preserve">II. Delimitation of the relevant markets  </w:t>
        <w:br/>
        <w:t xml:space="preserve">5. The parties are both active in the retail distribution sector of bazaar and decoration products.  </w:t>
        <w:br/>
        <w:t xml:space="preserve">A. DELIMITATION OF PRODUCT MARKETS  </w:t>
        <w:br/>
        <w:t xml:space="preserve">6. In the retail sector, competition authorities generally recognize two categories of markets: (1) downstream markets that bring together retail companies and final consumers, and (2) upstream supply markets for retail companies.  </w:t>
        <w:br/>
        <w:t>1 See in particular Decision No. 11-DCC-78 of May 18, 2011, regarding the acquisition of the Titouan group by the Conforama group, the letter from the Minister of Economy, Finance and Employment No. C2006-155 of August 31, 2007, to the board of the company CAFOM, regarding a concentration in the sector of household equipment sales, and the opinion of the Competition Council No. 07-A-06 of July 16, 2007, regarding the acquisition by the company Cafom of the distribution pole of the company Fincar in the sector of household equipment sales.</w:t>
      </w:r>
    </w:p>
    <w:p>
      <w:r>
        <w:t xml:space="preserve">1. DOWNSTREAM MARKET FOR RETAIL DISTRIBUTION OF BAZAAR AND DECORATION PRODUCTS  </w:t>
        <w:br/>
        <w:t xml:space="preserve">7. Furniture and decoration products encompass all products intended to furnish the rooms of a dwelling (chairs, sofas, tables, kitchen elements, bathroom elements, bedding, buffets, storage, desks, etc.) as well as all products intended to decorate this dwelling (curtains, rugs, lighting, various decorative objects, etc.).  </w:t>
        <w:br/>
        <w:t xml:space="preserve">8. Competition authorities have distinguished the retail sale of furniture products from the retail sale of bazaar and decoration products, due to differences in the assortment of suppliers, in purchasing behaviors, as well as in the functions of the products concerned, with the two categories of products being complementary and non-substitutable.  </w:t>
        <w:br/>
        <w:t xml:space="preserve">9. Furthermore, for both the retail sale of furniture products and the retail sale of bazaar and decoration products, the decision-making practice has retained a segmentation of the markets by distribution channel and has distinguished sales in stores from distance selling, all distance selling channels combined. Regarding sales in stores, the decision-making practice has retained a segmentation according to the format and size of the stores, between large food stores (GSA), large specialized stores (GSS), and convenience stores. There is no need to challenge this definition in the context of the examination of the present operation.  </w:t>
        <w:br/>
        <w:t xml:space="preserve">10. The size of Isambourg stores ranges from 540 to 1553 m², while Heytens stores range from 280 to 960 m². They therefore generally belong to the category of large specialized stores (GSS) offering the final consumer a wide assortment of products throughout the year.  </w:t>
        <w:br/>
        <w:t>11. The decision-making practice has not pronounced on a finer segmentation of the retail market for bazaar and decoration products based on the range of products offered ("low-end" and "mid-range" / "high-end"), or based on the category of products offered (such as curtains, rugs, lighting, etc.). The parties argue that any potential distinction between products based on their range would not be relevant as most retailers offer for each product category references belonging, by their price, stylistic research, and quality, to different ranges. Similarly, the parties argue that any potential distinction by product category would also not be relevant as retailers compete based on an offer corresponding to an assortment of products even if the extent of the proposed range varies depending on the retailers. However, it is not necessary in this case to pronounce on the exact delimitation of the retail distribution market of bazaar and decoration products.</w:t>
      </w:r>
    </w:p>
    <w:p>
      <w:r>
        <w:rPr>
          <w:b/>
        </w:rPr>
        <w:t>[Pages 4–6]</w:t>
      </w:r>
    </w:p>
    <w:p>
      <w:r>
        <w:t>products of bazaar and decoration, insofar as, regardless of the delimitation adopted, the conclusions of the analysis will remain unchanged.</w:t>
      </w:r>
    </w:p>
    <w:p>
      <w:r>
        <w:t>2. UPSTREAM MARKETS FOR THE SUPPLY OF BAZAAR AND DECORATION PRODUCTS</w:t>
      </w:r>
    </w:p>
    <w:p>
      <w:r>
        <w:t>12. Regarding the upstream markets for supply, competition authorities have noted that "producers manufacture specific products or groups of products and are not technically able to easily switch to manufacturing other products without significant costs." Furthermore, "at the supply level, it can be considered that there are as many markets as there are product families subject to negotiation, with each distributor putting various suppliers in competition on each of the markets." Thus, a distribution by product group can be considered relevant.</w:t>
      </w:r>
    </w:p>
    <w:p>
      <w:r>
        <w:t>13. Specifically regarding the supply of household appliances, furniture, and bazaar and decoration products, competition authorities, taking into account the organization of the "purchasing" divisions of distributors, have identified the following markets: (i) furniture, (ii) bazaar-decoration, (iii) small household appliances, (iv) large household appliances, (v) cameras/film, (vi) Hi-fi/sound devices, (vii) TV/video devices. There is no reason to challenge this delimitation in the context of the present operation.</w:t>
      </w:r>
    </w:p>
    <w:p>
      <w:r>
        <w:t>14. In this case, the parties to the operation are both active as buyers in the upstream market for the supply of bazaar-decoration products.</w:t>
      </w:r>
    </w:p>
    <w:p>
      <w:r>
        <w:t>B. DELIMITATION OF GEOGRAPHICAL MARKETS</w:t>
      </w:r>
    </w:p>
    <w:p>
      <w:r>
        <w:t>1. DOWNSTREAM MARKET FOR RETAIL DISTRIBUTION OF BAZAAR AND DECORATION PRODUCTS</w:t>
      </w:r>
    </w:p>
    <w:p>
      <w:r>
        <w:t>15. The decisional practice considers that the downstream market for retail distribution of bazaar and decoration products is of a local dimension. It has found that, for this type of purchase, consumers are willing to travel for a duration of 20 to 45 minutes to reach a store. However, this duration varies depending on the characteristics of each area, such as geography, population density, or the state of the supply itself.</w:t>
      </w:r>
    </w:p>
    <w:p>
      <w:r>
        <w:t>16. The decisional practice has considered that the actual behavior of consumers in a given area can be specified with data collected by stores on the location of their customers (provided at checkout) weighted by the relevant revenues. It is generally considered that the catchment area of the store can be limited to that in which 80% of the store's revenue is generated, with the remainder being considered as occasional customers.</w:t>
      </w:r>
    </w:p>
    <w:p>
      <w:r>
        <w:t>17. There is no reason to challenge this delimitation in the context of the present operation.</w:t>
      </w:r>
    </w:p>
    <w:p>
      <w:r>
        <w:t>18. In this case, given the available data, the analysis has been conducted on isochrone areas of 20 and 35 minutes of travel by car around the relevant points of sale.</w:t>
      </w:r>
    </w:p>
    <w:p>
      <w:r>
        <w:t>2. UPSTREAM MARKET FOR THE SUPPLY OF BAZAAR AND DECORATION PRODUCTS</w:t>
      </w:r>
    </w:p>
    <w:p>
      <w:r>
        <w:t>19. The decisional practice has retained at least a national, if not European, dimension for the supply markets. There is no reason to challenge this delimitation in the context of the present operation.</w:t>
      </w:r>
    </w:p>
    <w:p>
      <w:r>
        <w:t>III. Competitive Analysis</w:t>
      </w:r>
    </w:p>
    <w:p>
      <w:r>
        <w:t>A. DOWNSTREAM MARKET FOR RETAIL DISTRIBUTION OF BAZAAR AND DECORATION PRODUCTS</w:t>
      </w:r>
    </w:p>
    <w:p>
      <w:r>
        <w:t>20. The activities of the parties overlap in 10 catchment areas. The estimated market shares of the parties in value and volume in the retail segment of bazaar and decoration products in GSS in the 10 catchment areas of 20 or 35 minutes around the stores of the target companies are reproduced below:</w:t>
      </w:r>
    </w:p>
    <w:p>
      <w:r>
        <w:t>Catchment areas of 20 minutes around the stores of the target companies</w:t>
      </w:r>
    </w:p>
    <w:p>
      <w:r>
        <w:t>Catchment Areas | Market Shares in Value (2011) | Market Shares in Volume</w:t>
        <w:br/>
        <w:t>| Isambourg | Isambourg | Isambourg | Heytens | Isambourg | Heytens</w:t>
        <w:br/>
        <w:t xml:space="preserve">(20 minutes) | + Heytens | + Heytens | </w:t>
        <w:br/>
        <w:t>Valenciennes | [0-5] % | [0-5] % | [0-5] % | [5-10] % | [0-5] % | [10-20] %</w:t>
        <w:br/>
        <w:t>Beauvais | [5-10] % | [0-5] % | [10-20] % | [5-10] % | [0-5] % | [5-10] %</w:t>
        <w:br/>
        <w:t>Amiens | [5-10] % | [0-5] % | [5-10] % | [10-20] % | [0-5] % | [10-20] %</w:t>
        <w:br/>
        <w:t>Douai | [0-5] % | [0-5] % | [0-5] % | [5-10] % | [0-5] % | [5-10] %</w:t>
        <w:br/>
        <w:t>Reims | [0-5] % | [0-5] % | [0-5] % | [5-10] % | [0-5] % | [10-20] %</w:t>
        <w:br/>
        <w:t>Tours | [0-5] %* | [0-5] % | [0-5] % | [0-5] % | [0-5] % | [5-10] %</w:t>
        <w:br/>
        <w:t>Herblay | [0-5] % | [0-5] % | [0-5] % | [5-10] % | [0-5] % | [10-20] %</w:t>
        <w:br/>
        <w:t>Lille | [0-5] % | [0-5] % | [0-5] % | [5-10] % | [0-5] % | [5-10] %</w:t>
        <w:br/>
        <w:t>Lisses | [0-5] %* | [0-5] % | [0-5] % | [0-5] % | [0-5] % | [5-10] %</w:t>
        <w:br/>
        <w:t>Rouen | [0-5] % | [0-5] % | [0-5] % | [5-10] % | [0-5] % | [5-10] %</w:t>
      </w:r>
    </w:p>
    <w:p>
      <w:r>
        <w:t>*The Isambourg stores in Lisses and Tours will open in 2012, so the value data is not available.</w:t>
      </w:r>
    </w:p>
    <w:p>
      <w:r>
        <w:t>Catchment areas of 35 minutes around the stores of the target companies</w:t>
      </w:r>
    </w:p>
    <w:p>
      <w:r>
        <w:t>Catchment Areas | Market Shares in Value (2011) | Market Shares in Volume</w:t>
        <w:br/>
        <w:t>| Isambourg | Isambourg | Isambourg | Heytens | Isambourg | Heytens</w:t>
        <w:br/>
        <w:t xml:space="preserve">(35 minutes) | + Heytens | + Heytens | </w:t>
        <w:br/>
        <w:t>Valenciennes | [0-5] % | [0-5] % | [5-10] % | [5-10] % | [0-5] % | [10-20] %</w:t>
        <w:br/>
        <w:t>Beauvais | [5-10] % | [0-5] % | [10-20] % | [5-10] % | [0-5] % | [5-10] %</w:t>
        <w:br/>
        <w:t>Amiens | [5-10] % | [0-5] % | [5-10] % | [5-10] % | [0-5] % | [10-20] %</w:t>
        <w:br/>
        <w:t>Douai | [5-10] % | [0-5] % | [5-10] % | [10-20] % | [0-5] % | [10-20] %</w:t>
        <w:br/>
        <w:t>Reims | [0-5] % | [0-5] % | [0-5] % | [0-5] % | [0-5] % | [5-10] %</w:t>
        <w:br/>
        <w:t>Tours | [0-5] %* | [0-5] % | [0-5] % | [0-5] % | [0-5] % | [5-10] %</w:t>
        <w:br/>
        <w:t>Herblay | [0-5] % | [0-5] % | [0-5] % | [5-10] % | [0-5] % | [10-20] %</w:t>
        <w:br/>
        <w:t>Lille | [0-5] % | [0-5] % | [0-5] % | [5-10] % | [0-5] % | [5-10] %</w:t>
        <w:br/>
        <w:t>Lisses | [0-5] %* | [5-10] % | [5-10] % | [0-5] % | [0-5] % | [5-10] %</w:t>
        <w:br/>
        <w:t>Rouen | [0-5] % | [0-5] % | [0-5] % | [5-10] % | [0-5] % | [5-10] %</w:t>
      </w:r>
    </w:p>
    <w:p>
      <w:r>
        <w:t>*The Isambourg stores in Lisses and Tours will open in 2012, so the value data is not available.</w:t>
      </w:r>
    </w:p>
    <w:p>
      <w:r>
        <w:t>21. It follows from these estimates that the cumulative market share of the parties will not exceed [10-20] % in value or volume in any of the considered catchment areas. The parties will continue, after the operation, to face competition from several other GSS with sales areas exceeding 300 m².</w:t>
      </w:r>
    </w:p>
    <w:p>
      <w:r>
        <w:rPr>
          <w:b/>
        </w:rPr>
        <w:t>[Pages 7–7]</w:t>
      </w:r>
    </w:p>
    <w:p>
      <w:r>
        <w:t xml:space="preserve">such as Alinéa, Fly, Ikéa, La Foir’Fouille, Leroy Merlin, Mr Bricolage, Castorama, Chantemur, Decosign, Les 4 Murs, Rogaray, or But.  </w:t>
        <w:br/>
        <w:t xml:space="preserve">22. Finally, regarding a potential segmentation of the market by product range, the conclusions of the analysis are not different. Indeed, none of the parties is active in a potential "high-end" segment. Isambourg would rather be positioned in the "low-end" segment and Heytens in the "mid-range" segment, with the competitors of the parties mentioned above also being primarily active in the "low-end" and "mid-range" segments. Similarly, in the event that a segmentation by product category were adopted, the activities of the parties would not overlap.  </w:t>
        <w:br/>
        <w:t xml:space="preserve">23. It follows from all these elements that the notified operation is not likely to harm competition in the local markets for the retail sale of bazaar and decoration products.  </w:t>
        <w:br/>
        <w:t xml:space="preserve">B. UPSTREAM MARKET FOR THE SUPPLY OF BAZAAR AND DECORATION PRODUCTS  </w:t>
        <w:br/>
        <w:t xml:space="preserve">24. In the market for the supply of decoration and bazaar products, the combined supplies of the parties represent less than [0-5]% of the supplies in the French market for bazaar and decoration products. They also represent a negligible share of supplies at the European level.  </w:t>
        <w:br/>
        <w:t xml:space="preserve">25. The operation is therefore not likely to harm competition in the upstream market for the supply of bazaar and decoration products.  </w:t>
        <w:br/>
        <w:t xml:space="preserve">DECIDES  </w:t>
        <w:br/>
        <w:t xml:space="preserve">Sole Article: The notified operation under number 12-043 is authorized.  </w:t>
        <w:br/>
        <w:t xml:space="preserve">The President,  </w:t>
        <w:br/>
        <w:t xml:space="preserve">Bruno Lasserre  </w:t>
        <w:br/>
        <w:t xml:space="preserve">© Competition Authority  </w:t>
        <w:b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