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https://www.autoritedelaconcurrence.fr/fr/decision-de-controle-des-concentrations/relative-la-prise-de-controle-exclusif-par-la-societe-9</w:t>
      </w:r>
    </w:p>
    <w:p>
      <w:r>
        <w:t>Pages translated : 4</w:t>
      </w:r>
    </w:p>
    <w:p/>
    <w:p>
      <w:r>
        <w:rPr>
          <w:b/>
        </w:rPr>
        <w:t>[Pages 1–3]</w:t>
      </w:r>
    </w:p>
    <w:p>
      <w:r>
        <w:t xml:space="preserve">FRENCH REPUBLIC  </w:t>
        <w:br/>
        <w:t xml:space="preserve">Decision No. 12-DCC-86 of June 20, 2012  </w:t>
        <w:br/>
        <w:t xml:space="preserve">regarding the exclusive control by the company Daltys II of  </w:t>
        <w:br/>
        <w:t>the companies Gobmatic, DA West Holding, and Totem Développement</w:t>
      </w:r>
    </w:p>
    <w:p>
      <w:r>
        <w:t xml:space="preserve">The Competition Authority,  </w:t>
        <w:br/>
        <w:t xml:space="preserve">Having regard to the notification file submitted in full to the merger service on May 14, 2012,  </w:t>
        <w:br/>
        <w:t xml:space="preserve">regarding the acquisition of the companies Gobmatic, DA West Holding, and Totem Développement by  </w:t>
        <w:br/>
        <w:t xml:space="preserve">the company Daltys II, formalized by a memorandum of understanding dated April 13, 2012;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Daltys II is a simplified joint-stock company active in the sectors of vending and concession catering. 21 Partners controls, through two venture capital funds (hereinafter "FCPR") managed by 21 Central Partners, [Confidential]. The FCPRs managed by 21 Central Partners hold stakes in companies active in the sectors of vending services and catering, as well as other sectors unrelated to the present operation (distance learning, leisure, ready-to-wear, etc.)1.  </w:t>
        <w:br/>
        <w:t xml:space="preserve">2. The companies Gobmatic, DA West Holding, and Totem Développement (hereinafter "the target companies") are simplified joint-stock companies, whose capital is wholly owned by the company DA Finances. The target companies are active in the sectors of vending and concession catering.  </w:t>
        <w:br/>
        <w:t>1 No other company directly or indirectly controlled by 21 Partners is active in the sectors of vending and concession catering.</w:t>
      </w:r>
    </w:p>
    <w:p>
      <w:r>
        <w:t xml:space="preserve">3. The notified operation consists of (i) the acquisition by Daltys II from DA Finances of 100% of the shares of the companies Gobmatic and DA West Holding, as well as (ii) the acquisition by Daltys II of 100% of the shares of the company Totem Développement, [Confidential]2.  </w:t>
        <w:br/>
        <w:t xml:space="preserve">4. The notified operation therefore results in the exclusive control by Daltys II of the companies Gobmatic, DA West Holding, and Totem Développement and constitutes a concentration within the meaning of Article L. 430-1 of the Commercial Code.  </w:t>
        <w:br/>
        <w:t>5. The companies concerned have together achieved a consolidated worldwide turnover excluding taxes of more than 150 million euros (21 Partners: [...] billion euros in 2011; Groupe DA Finances: [...] million euros for the fiscal year ending December 31, 2011). Each of these companies has achieved, in France, a turnover exceeding 50 million euros (21 Partners: [...] million euros in 2011; Groupe DA Finances: [...] million euros for the fiscal year ending December 31, 2011).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offer vending services, cafeteria services, and multi-service catering corners, as well as all associated services of consulting, design, installation, supply, and maintenance.  </w:t>
        <w:br/>
        <w:t xml:space="preserve">A. CONCESSION CATERING MARKET  </w:t>
        <w:br/>
        <w:t xml:space="preserve">7. National and European decision-making practice distinguishes the concession catering sector from the collective catering sector3. In this case, the parties are simultaneously present in the concession catering market, which is the only one concerned by the notified operation.  </w:t>
        <w:br/>
        <w:t xml:space="preserve">8. The concession catering activity consists of providing catering services in areas primarily allocated to another activity: transport (airports, train stations, etc.), leisure or sports (museums, cinemas, amusement parks, stadiums, etc.), retail (shopping malls, department stores, etc.), and other public places. The service provider pays a fee to the grantor in exchange for the right to operate for its own account a part of the granted area. The service provider is only compensated from sales made to the public.  </w:t>
        <w:br/>
        <w:t xml:space="preserve">2 [Confidential].  </w:t>
        <w:br/>
        <w:t>3 See in particular C2007-69 / Letter from the Minister of Economy, Finance and Employment dated June 13, 2007, to the advisors of the company Avenance, regarding a concentration in the collective catering sector, C2008-85 / Letter from the Minister of Economy, Industry and Employment dated September 15, 2008, to the advisor of the company Sodexo, regarding a concentration in the collective catering sector; decisions of the European Commission COMP/M.1972, Granada/Compass, June 29, 2000, COMP/M.2373, Compass/Selecta, May 8, 2001, and COMP/M.4202, Charterhouse/Elior, May 19, 2006.</w:t>
      </w:r>
    </w:p>
    <w:p>
      <w:r>
        <w:t xml:space="preserve">9. Finally, decision-making practice has considered that the geographical dimension of the concession catering market was at least national, while leaving open the exact geographical delimitation of the market.  </w:t>
        <w:br/>
        <w:t xml:space="preserve">10. In this case, it is not necessary to decide on the exact definition of the concession catering market, insofar as the conclusions of the competitive analysis will remain unchanged, regardless of the delimitation chosen.  </w:t>
        <w:br/>
        <w:t xml:space="preserve">B. VENDING MACHINE MARKET  </w:t>
        <w:br/>
        <w:t xml:space="preserve">11. Vending involves distributing products, whether food or non-food, through a machine capable of accepting any immediate payment method. The operation of these vending machines requires the necessary means for their installation, maintenance, cleaning, supply and restocking of inventory, and collection of cash payments made.  </w:t>
        <w:br/>
        <w:t xml:space="preserve">12. Decision-making practice has distinguished food vending from collective catering and concession catering, both in terms of supply (different investments, logistics, and cost structures) and demand (price, difference between a full meal and a simple snack). However, it has considered that automatic sales constitute a complementary service to that offered in the context of collective catering or concession catering. These different markets are therefore closely linked and can be considered as related4.  </w:t>
        <w:br/>
        <w:t xml:space="preserve">13. Decision-making practice has also considered, without definitively ruling on the matter, segmenting the vending machine market based on the types of products sold (hot beverages, cold beverages, snacks/food, including confectionery)5, or the nature of the services provided by the operator depending on whether it offers all vending services or only ancillary services to vending that are limited to cleaning and restocking the machines6.  </w:t>
        <w:br/>
        <w:t xml:space="preserve">14. Finally, decision-making practice considers, without resolving the issue, that the geographical dimension of the vending machine market would rather be national given the differences in legislation, culture, and safety between the Member States of the European Union and the necessity of having staff available near the machines7.  </w:t>
        <w:br/>
        <w:t xml:space="preserve">15. In this case, it is not necessary to decide on the precise definition of the market, insofar as the conclusions of the competitive analysis will remain unchanged regardless of the delimitation chosen.  </w:t>
        <w:br/>
        <w:t xml:space="preserve">4 See in particular decisions C2007-69, C2008-85, COMP/M.2373, COMP/M.4202, cited above, and COMP/M.5973, CVC/Charden International, October 12, 2010.  </w:t>
        <w:br/>
        <w:t xml:space="preserve">5 See in particular decisions COMP/M.4202 and COMP/M.5973, cited above. See also for a finer segmentation the Letter from the Minister of Economy, Finance and Industry dated May 19, 2000, to the advisor of the company Compass Partners European Equity Fund, regarding a concentration in the sector of manufacturing vending machines for food products.  </w:t>
        <w:br/>
        <w:t xml:space="preserve">6 See in particular decisions COMP/M.2373, COMP/M.4202, and COMP/M.5973, cited above.  </w:t>
        <w:br/>
        <w:t>7 See in particular decisions C2007-69, C2008-85, COMP/M.2373, COMP/M.4202, and COMP/M.5973, cited above.</w:t>
      </w:r>
    </w:p>
    <w:p>
      <w:r>
        <w:rPr>
          <w:b/>
        </w:rPr>
        <w:t>[Pages 4–4]</w:t>
      </w:r>
    </w:p>
    <w:p>
      <w:r>
        <w:t>III. Competitive Analysis</w:t>
      </w:r>
    </w:p>
    <w:p>
      <w:r>
        <w:t>16. Following the notified operation, the new entity will represent approximately [0-5]% of the concession catering market and approximately [0-5]% of the vending machine market in France. Furthermore, regarding any potential segmentations of the vending machine market, the combined market share of the parties will not exceed [5-10]%, regardless of the market delimitation chosen.</w:t>
      </w:r>
    </w:p>
    <w:p>
      <w:r>
        <w:t>17. Given the limited market share of the parties, the strong geographical complementarity of their activities, with the target companies primarily present in the north and west of France while Daltys II is mainly present in the center, east, and south of France, as well as the significant competitive pressure exerted by the parties' competitors, the most significant of which are Selecta and Autobar, the notified operation is not likely to harm competition in the concession catering and vending machine markets in France.</w:t>
      </w:r>
    </w:p>
    <w:p>
      <w:r>
        <w:t>DECIDES</w:t>
      </w:r>
    </w:p>
    <w:p>
      <w:r>
        <w:t>Sole Article: The notified operation under number 12-074 is authorized.</w:t>
      </w:r>
    </w:p>
    <w:p>
      <w: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