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https://www.autoritedelaconcurrence.fr/fr/decision-de-controle-des-concentrations/relative-la-prise-de-controle-exclusif-par-la-societe-agm</w:t>
      </w:r>
    </w:p>
    <w:p>
      <w:r>
        <w:t>Pages translated : 2</w:t>
      </w:r>
    </w:p>
    <w:p/>
    <w:p>
      <w:r>
        <w:rPr>
          <w:b/>
        </w:rPr>
        <w:t>[Pages 1–2]</w:t>
      </w:r>
    </w:p>
    <w:p>
      <w:r>
        <w:t xml:space="preserve">FRENCH REPUBLIC  </w:t>
        <w:br/>
        <w:t xml:space="preserve">Decision No. 16-DCC-165 of November 3, 2016  </w:t>
        <w:br/>
        <w:t xml:space="preserve">regarding the exclusive control acquisition by the company AGM Holding  </w:t>
        <w:br/>
        <w:t xml:space="preserve">of an automotive distribution business  </w:t>
        <w:br/>
        <w:t xml:space="preserve">The Competition Authority,  </w:t>
        <w:br/>
        <w:t xml:space="preserve">Having regard to the notification file sent to the mergers department on September 12, 2016, and  </w:t>
        <w:br/>
        <w:t xml:space="preserve">declared complete on October 12, 2016, concerning the exclusive acquisition by the company AGM Holding  </w:t>
        <w:br/>
        <w:t xml:space="preserve">of an automotive distribution business, formalized by a transfer contract dated September 8, 2016;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acquisition of an automotive distribution business of the Land Rover brand in Martinique by the company AGM Holding, also active in the automotive distribution sector. This operation constitutes a concentration operation within the meaning of Article L. 430-1 of the Commercial Code. Given the turnover achieved by the companies concerned, the operation does not fall under the jurisdiction of the European Union. However, the retail control thresholds mentioned in point III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16-172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