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https://www.autoritedelaconcurrence.fr/fr/decision-de-controle-des-concentrations/relative-la-prise-de-controle-exclusif-par-la-societe-bnp</w:t>
      </w:r>
    </w:p>
    <w:p>
      <w:r>
        <w:t>Pages translated : 4</w:t>
      </w:r>
    </w:p>
    <w:p/>
    <w:p>
      <w:r>
        <w:rPr>
          <w:b/>
        </w:rPr>
        <w:t>[Pages 1–3]</w:t>
      </w:r>
    </w:p>
    <w:p>
      <w:r>
        <w:t xml:space="preserve">FRENCH REPUBLIC  </w:t>
        <w:br/>
        <w:t xml:space="preserve">Decision No. 14-DCC-143 of September 29, 2014  </w:t>
        <w:br/>
        <w:t xml:space="preserve">regarding the exclusive control by BNP Paribas Cardif  </w:t>
        <w:br/>
        <w:t xml:space="preserve">of the company Icare  </w:t>
        <w:br/>
        <w:t xml:space="preserve">The Competition Authority,  </w:t>
        <w:br/>
        <w:t xml:space="preserve">Having regard to the notification file submitted in full to the concentrations service on August 25, 2014,  </w:t>
        <w:br/>
        <w:t xml:space="preserve">regarding the exclusive control by BNP Paribas Cardif of the company Icare,  </w:t>
        <w:br/>
        <w:t xml:space="preserve">formalized by a share purchase agreement dated July 23, 2014;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BNP Paribas Cardif (hereinafter "Cardif") is a subsidiary of the BNP Paribas group. Cardif  </w:t>
        <w:br/>
        <w:t xml:space="preserve">designs and markets insurance products and services under two brands: "BNP Paribas" for products distributed by the BNP Paribas retail banking network in France and "Cardif" for products distributed through networks not belonging to the BNP Paribas group, in France and internationally. Cardif operates in the sectors of savings, provident insurance, and property damage insurance.  </w:t>
        <w:br/>
        <w:t xml:space="preserve">2. Icare is active in the development and marketing of automotive warranty products and services under its own brand and white label to professionals such as automobile manufacturers, car dealerships, garages, and financial institutions. Icare primarily markets products and services related to maintenance-repair warranty, used vehicle warranty, and warranty extension.  </w:t>
        <w:br/>
        <w:t xml:space="preserve">3. The operation, formalized by a share purchase agreement dated July 23, 2014, aims at the acquisition by Cardif of the entire capital of Icare.  </w:t>
        <w:br/>
        <w:t>4. Insofar as it results in the exclusive control of the company Icare by the company Cardif, the operation constitutes a concentration within the meaning of Article L. 430-1 of the Commercial Code.</w:t>
      </w:r>
    </w:p>
    <w:p>
      <w:r>
        <w:t xml:space="preserve">5. The companies concerned together achieve a total worldwide turnover excluding tax of more than 150 million euros (BNP Paribas: [...] euros for the fiscal year ending December 31, 2013; Icare: [...] euros for the fiscal year ending December 31, 2013). Each of these companies achieved a turnover in France exceeding 50 million euros (BNP Paribas: [...] euros for the fiscal year ending December 31, 2013; Icare: [...] euros for the fiscal year ending December 31, 2013).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6. The activities of the parties overlap in the market for mechanical breakdown warranty and in the market for automobile assistance. Furthermore, BNP Paribas operates, through its subsidiary Arval Service Lease, a long-term vehicle rental and fleet management activity on behalf of third parties.  </w:t>
        <w:br/>
        <w:t xml:space="preserve">A. PRODUCT DELIMITATION  </w:t>
        <w:br/>
        <w:t xml:space="preserve">7. In terms of automotive warranty, previous decision-making practice distinguishes between maintenance-repair warranty, on the one hand, and mechanical breakdown warranty, on the other hand.  </w:t>
        <w:br/>
        <w:t xml:space="preserve">8. The maintenance-repair warranty for motor vehicles consists of ensuring the standard maintenance service of the vehicle, which covers periodic revisions and wear parts. Only Icare is present in this market.  </w:t>
        <w:br/>
        <w:t xml:space="preserve">9. The mechanical breakdown warranty includes mechanical breakdown warranty services for used vehicles, as well as warranty extensions for new vehicles beyond the legal warranty. The parties specify that a segmentation could be considered between (i) warranty extension, which is an insurance product intended for individuals wishing to extend the coverage of their vehicle beyond the warranty offered by the manufacturer or dealer, a market segment in which both parties are active, and (ii) financial loss warranty, which is an insurance product intended for professionals (garages or dealers) wishing to cover themselves against the consequences of a breakdown of vehicles rented to end customers, a market segment in which only the target is active. In this case, it is not necessary to further resolve the question of a possible segmentation of the mechanical breakdown warranty market, as the conclusions of the competitive analysis remain unchanged regardless of the segmentation adopted.  </w:t>
        <w:br/>
        <w:t xml:space="preserve">10. An activity considered by practice as related to automotive warranty is automobile assistance, which involves assistance services for vehicles  </w:t>
        <w:br/>
        <w:t xml:space="preserve">1 See letter from the Minister C 2004-144 of October 14, 2004, to the advisors of Europ Assistance Holding regarding a concentration in the insurance sector.  </w:t>
        <w:br/>
        <w:t>2</w:t>
      </w:r>
    </w:p>
    <w:p>
      <w:r>
        <w:t xml:space="preserve">accidented, broken down, or stolen. Icare is present in this market, and Cardif is only present in a residual manner.  </w:t>
        <w:br/>
        <w:t xml:space="preserve">11. The parties consider that it would be appropriate to identify a market related to warranty management on behalf of third parties. This service is intended for professionals wishing to delegate the management of their automotive warranties to an external provider. In this case, it is not necessary to definitively determine the existence of such a market, as the conclusions of the competitive analysis remain unchanged regardless of the delineation adopted.  </w:t>
        <w:br/>
        <w:t xml:space="preserve">12. Furthermore, an established decision-making practice has identified a market for long-term vehicle leasing and fleet management. Only BNP Paribas is present in this market through Arval Service Lease.  </w:t>
        <w:br/>
        <w:t xml:space="preserve">B. GEOGRAPHICAL DELIMITATION  </w:t>
        <w:br/>
        <w:t xml:space="preserve">13. Insurance markets are traditionally considered to be of national dimension, notably due to differences in legislation and regulatory constraints between Member States as well as the existence of national distribution channels.  </w:t>
        <w:br/>
        <w:t xml:space="preserve">14. The market for long-term vehicle leasing and fleet management also has a national dimension.  </w:t>
        <w:br/>
        <w:t xml:space="preserve">III. Competitive analysis  </w:t>
        <w:br/>
        <w:t xml:space="preserve">A. HORIZONTAL EFFECTS  </w:t>
        <w:br/>
        <w:t xml:space="preserve">15. In the market for mechanical breakdown warranty and its possible segmentations, the positions of the parties are as follows:  </w:t>
        <w:br/>
        <w:t xml:space="preserve">Market for warranty Segment of warranty Segment of financial  </w:t>
        <w:br/>
        <w:t xml:space="preserve">mechanical breakdown extension warranty loss warranty  </w:t>
        <w:br/>
        <w:t xml:space="preserve">BNP Paribas [0-5] % [5-10] % [0-5] %  </w:t>
        <w:br/>
        <w:t xml:space="preserve">Icare [10-20] % [10-20] % [10-20] %  </w:t>
        <w:br/>
        <w:t xml:space="preserve">New entity [10-20] % [10-20] % [10-20] %  </w:t>
        <w:br/>
        <w:t xml:space="preserve">16. It follows that regardless of the segmentation of the mechanical breakdown warranty market considered, the market share of the new entity will not exceed [20-30] %. Furthermore, the new entity will face competitors such as Covea Fleet ([10-20] % market share), Opteven ([10-20] % market share), and The Warranty Group ([5-10] % market share).  </w:t>
        <w:br/>
        <w:t xml:space="preserve">2 Decision of the European Commission No. M.3029 Société Générale/AIHL Europe of February 10, 2003, and letter from the Minister of Economy, Finance and Employment No. C2008-18 of April 4, 2008, to the board of LeasePlan Corporation NV regarding a concentration in the vehicle rental and fleet management sector.  </w:t>
        <w:br/>
        <w:t>3</w:t>
      </w:r>
    </w:p>
    <w:p>
      <w:r>
        <w:rPr>
          <w:b/>
        </w:rPr>
        <w:t>[Pages 4–4]</w:t>
      </w:r>
    </w:p>
    <w:p>
      <w:r>
        <w:t>17. In the assistance market, the parties estimate that their position following the operation will be below [0-5] %.</w:t>
      </w:r>
    </w:p>
    <w:p>
      <w:r>
        <w:t>18. Consequently, the operation is not likely to harm competition through horizontal effects.</w:t>
      </w:r>
    </w:p>
    <w:p>
      <w:r>
        <w:t>B. VERTICAL EFFECTS</w:t>
      </w:r>
    </w:p>
    <w:p>
      <w:r>
        <w:t>19. The operation results in a vertical integration of the new entity, with BNP Cardif being present upstream in the long-term vehicle rental and fleet management market, and Icare downstream in the assistance market.</w:t>
      </w:r>
    </w:p>
    <w:p>
      <w:r>
        <w:t>20. However, due to the parties' position in these two markets ([10-20] % for BNP Paribas and less than [0-5] % for Icare), the operation is not likely to harm competition through vertical effects.</w:t>
      </w:r>
    </w:p>
    <w:p>
      <w:r>
        <w:t>C. CONGLOMERATE EFFECTS</w:t>
      </w:r>
    </w:p>
    <w:p>
      <w:r>
        <w:t>21. This operation will allow BNP Paribas to strengthen its presence in the markets for mechanical breakdown warranty and assistance and to expand its range of warranties and services to include maintenance and repair warranty and warranty management on behalf of third parties. However, the new entity will not have, following the operation, a sufficiently significant position in any of the product families it distributes to exploit any potential leverage effect. Furthermore, competitors of the parties such as Opteven and Car Garantie also offer a range that includes both maintenance and repair warranty products and mechanical breakdown warranty products, as well as warranty management services on behalf of third parties.</w:t>
      </w:r>
    </w:p>
    <w:p>
      <w:r>
        <w:t>DECIDES</w:t>
      </w:r>
    </w:p>
    <w:p>
      <w:r>
        <w:t>Sole Article: The operation notified under number 14-144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