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https://www.autoritedelaconcurrence.fr/fr/decision-de-controle-des-concentrations/relative-la-prise-de-controle-exclusif-par-la-societe-colas</w:t>
      </w:r>
    </w:p>
    <w:p>
      <w:r>
        <w:t>Pages translated : 12</w:t>
      </w:r>
    </w:p>
    <w:p/>
    <w:p>
      <w:r>
        <w:rPr>
          <w:b/>
        </w:rPr>
        <w:t>[Pages 1–3]</w:t>
      </w:r>
    </w:p>
    <w:p>
      <w:r>
        <w:t>FRENCH REPUBLIC</w:t>
        <w:br/>
        <w:t>Decision No. 25-DCC-328 of December 23, 2025</w:t>
        <w:br/>
        <w:t>regarding the exclusive control by Colas France of</w:t>
        <w:br/>
        <w:t>the company Entreprise Hubert Rougeot Meursault</w:t>
        <w:br/>
        <w:t>The Competition Authority,</w:t>
        <w:br/>
        <w:t>Having regard to the notification file submitted in full to the merger service on</w:t>
        <w:br/>
        <w:t>November 25, 2025, concerning the exclusive control by Colas France of the</w:t>
        <w:br/>
        <w:t>company Entreprise Hubert Rougeot Meursault, formalized by a memorandum of understanding signed on</w:t>
        <w:br/>
        <w:t>October 31, 2025;</w:t>
        <w:br/>
        <w:t>Having regard to Book IV of the Commercial Code relating to the freedom of prices and competition, and</w:t>
        <w:br/>
        <w:t>notably its Articles L. 430-1 to L. 430-7;</w:t>
        <w:br/>
        <w:t>Having regard to the other documents in the file;</w:t>
        <w:br/>
        <w:t>Adopts the following decision:</w:t>
      </w:r>
    </w:p>
    <w:p>
      <w:r>
        <w:t>I. THE COMPANIES CONCERNED AND THE OPERATION</w:t>
        <w:br/>
        <w:t>1. Colas France (hereinafter, "Colas") engages in three main activities:</w:t>
        <w:br/>
        <w:t>- road: construction and maintenance of roads, highways, airport runways, port, industrial, logistical, commercial platforms, roadways, and urban developments (pedestrian zones, bicycle paths), public transport routes, leisure or environmental developments, civil engineering structures, buildings, safety, and signage;</w:t>
        <w:br/>
        <w:t>- construction materials: production, sale, and recycling of construction materials (aggregates, emulsions, asphalt, ready-mix concrete, bitumen);</w:t>
        <w:br/>
        <w:t>- railway: design and engineering of large complex projects as well as the construction, renewal, and maintenance of railway networks (high-speed lines, traditional tracks, trams, subways).</w:t>
        <w:br/>
        <w:t>2. Colas is 100% owned by the Bouygues group, which is active in the following sectors:</w:t>
        <w:br/>
        <w:t>- construction through Bouygues Construction (building, civil engineering, energy, and services) and Bouygues Immobilier (property development) and Colas;</w:t>
        <w:br/>
        <w:t>- media through TF1; and</w:t>
        <w:br/>
        <w:t>- telecommunications through Bouygues Telecom.</w:t>
        <w:br/>
        <w:t>3. The target of the present operation is the company Entreprise Hubert Rougeot Meursault</w:t>
        <w:br/>
        <w:t>(hereinafter, "EHRM"). Established in 1960, it primarily operates in the construction materials sector, in the Bourgogne-Franche-Comté region, through the production of aggregates and asphalt. It also carries out earthworks, road works, as well as pipeline, sanitation, and network works.</w:t>
        <w:br/>
        <w:t>4. The present operation, formalized by a memorandum of understanding signed on October 31, 2025, concerns the acquisition by Colas of 100% of the capital and voting rights of EHRM. As it results in the exclusive control of EHRM by Colas, the notified operation constitutes a concentration within the meaning of Article L. 430-1 of the Commercial Code.</w:t>
        <w:br/>
        <w:t>5. The companies concerned together achieve a total worldwide turnover of more than 150 million euros (the Bouygues group: 56.7 billion euros for the fiscal year ending December 31, 2024; EHRM: [≤ 150] million euros for the same fiscal year). Each of these companies achieves a turnover in France exceeding 50 million euros (the Bouygues group: [≥ 50 million] euros for the fiscal year ending December 31, 2024; EHRM: [≥ 50] million euros for the same fiscal year).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II. DELIMITATION OF THE RELEVANT MARKETS</w:t>
        <w:br/>
        <w:t>6. The activities of the parties mainly overlap in the road and construction materials sectors.</w:t>
        <w:br/>
        <w:t>7. Indeed, EHRM produces aggregates and asphalt. It also carries out earthworks, road works, as well as underground works for pipelines, sanitation, and others. Colas is active in these sectors in the geographical areas where EHRM is present. These markets are therefore horizontally affected by the operation.</w:t>
        <w:br/>
        <w:t>A. THE MARKET FOR THE PRODUCTION AND MARKETING</w:t>
        <w:br/>
        <w:t>OF AGGREGATES</w:t>
        <w:br/>
        <w:t>1. THE PRODUCT MARKETS</w:t>
        <w:br/>
        <w:t>8. The European Commission and the Competition Authority have had the opportunity to delineate</w:t>
        <w:br/>
        <w:t>these markets by segmenting them by types of aggregates.</w:t>
        <w:br/>
        <w:t>9. Thus, we can distinguish:</w:t>
        <w:br/>
        <w:t>− primary aggregates (extracted from natural raw materials), within which alluvial aggregates and aggregates from massive rocks are distinctly apprehended. Within the aggregates from massive rocks, we further distinguish limestone aggregates and eruptive aggregates;</w:t>
        <w:br/>
        <w:t>− secondary aggregates (of artificial origin including by-products of the industry and recycled aggregates).</w:t>
        <w:br/>
        <w:t>10. In this case, there is no need to rule on the exact delimitation of the markets for the production and marketing of aggregates, as the conclusions of the competitive analysis remain unchanged, regardless of the segmentation considered.</w:t>
      </w:r>
    </w:p>
    <w:p>
      <w:r>
        <w:rPr>
          <w:b/>
        </w:rPr>
        <w:t>[Pages 4–6]</w:t>
      </w:r>
    </w:p>
    <w:p>
      <w:r>
        <w:t>2. THE GEOGRAPHICAL MARKETS</w:t>
        <w:br/>
        <w:t>11. The markets for the production and marketing of aggregates are local to the extent that they are heavy and bulky products whose transportation costs constitute a significant part of the final price. This is why competition authorities have considered markets with a radius of several kilometers, depending on the specific characteristics of the local areas examined.</w:t>
        <w:br/>
        <w:t>12. In practice, geographical markets are defined by a radius of 40 to 80 kilometers from a production site (or quarry).</w:t>
        <w:br/>
        <w:t>13. In this case, the notifying party calculated the market shares of the new entity in markets with a radius of 40, 50, and 80 kilometers from the only quarry operated by EHRM.</w:t>
      </w:r>
    </w:p>
    <w:p>
      <w:r>
        <w:t>B. THE MARKET FOR THE PRODUCTION AND MARKETING OF ASPHALT</w:t>
        <w:br/>
        <w:t>1. THE PRODUCT MARKETS</w:t>
        <w:br/>
        <w:t>14. In its decision COMP/M.5803 mentioned above, the European Commission stated that “[a]sphalt is a composite material commonly used for the construction of road surfaces, highways, parking lots, and airport runways. Asphalt is traditionally composed of 95% aggregates and 5% bitumen,” which acts as glue that binds the aggregates.</w:t>
        <w:br/>
        <w:t>15. While the European Commission considered that asphalt constitutes a single product market, the Competition Authority contemplated segmenting it between asphalt produced from fixed plants and that produced from mobile plants.</w:t>
        <w:br/>
        <w:t>16. In this case, there is no need to rule on the exact delimitation of the markets for the production and marketing of asphalt, as the conclusions of the competitive analysis remain unchanged, regardless of the segmentation considered.</w:t>
      </w:r>
    </w:p>
    <w:p>
      <w:r>
        <w:t>2. THE GEOGRAPHICAL MARKETS</w:t>
        <w:br/>
        <w:t>17. In its decision COMP/M.5803 mentioned above, the European Commission indicated that “[a]sphalt is a perishable product that requires transportation in special heated containers to prevent it from decomposing before delivery.” Thus, it “considered a geographical market with a radius of 25-100 kilometers from the place of production of the asphalt,” while emphasizing that a radius of 40 km was generally the most relevant.</w:t>
        <w:br/>
        <w:t>18. The Competition Authority also retained an area with a radius of 40 kilometers around a production plant.</w:t>
        <w:br/>
        <w:t>19. There is no reason to challenge this delimitation in the course of the present analysis.</w:t>
      </w:r>
    </w:p>
    <w:p>
      <w:r>
        <w:t>C. THE MARKETS FOR EARTHWORK SERVICES</w:t>
        <w:br/>
        <w:t>1. THE PRODUCT MARKETS</w:t>
        <w:br/>
        <w:t>20. Earthwork services consist of preparing sites to level and consolidate the soil for communication routes, creating trenches for roads and various networks. They include the extraction of soil from high points (excavation), then their transport and placement as embankments in low points or deposits.</w:t>
        <w:br/>
        <w:t>21. It was considered to sub-segment this market based on the size of the projects, and to distinguish between so-called "simple" and "medium" earthworks with an amount less than five million euros and so-called "large-scale" earthworks with an amount exceeding five million euros.</w:t>
        <w:br/>
        <w:t>22. In this case, there is no need to rule on the exact delimitation of the markets for earthwork services, as the conclusions of the competitive analysis remain unchanged, regardless of the segmentation considered.</w:t>
      </w:r>
    </w:p>
    <w:p>
      <w:r>
        <w:t>2. THE GEOGRAPHICAL MARKETS</w:t>
        <w:br/>
        <w:t>23. The Competition Authority retained a national dimension for large-scale earthworks and a regional dimension (corresponding to the administrative regions prior to the entry into force of the territorial reform law on January 1, 2016) for simple or medium earthworks.</w:t>
        <w:br/>
        <w:t>24. There is no reason to challenge these delimitations in the course of the present analysis.</w:t>
      </w:r>
    </w:p>
    <w:p>
      <w:r>
        <w:t>D. THE MARKETS FOR ROAD WORKS</w:t>
        <w:br/>
        <w:t>1. THE PRODUCT MARKETS</w:t>
        <w:br/>
        <w:t>25. In its decision COMP/M.9316 mentioned above, the European Commission stated that road works consist of “the application of asphalt and other materials to surface roads, parking lots, pedestrian paths, airport runways, and other sites.” It added that “[t]he activities of road works are a particular category of civil engineering that includes the construction and maintenance of road infrastructures made up of aggregates (notably in the foundations of roads), asphalt, and sometimes cement.”</w:t>
        <w:br/>
        <w:t>26. It thus considered that the market for road works is a global market, distinct from the materials used (aggregates and asphalt).</w:t>
        <w:br/>
        <w:t>27. However, the Competition Authority did not exclude the existence of a distinct market for highway works, given that the establishment of highway sections would be subject to specific technical and timing constraints.</w:t>
        <w:br/>
        <w:t>28. In this case, there is no need to rule on the exact delimitation of the markets for road works, as the conclusions of the competitive analysis remain unchanged, regardless of the segmentation considered.</w:t>
      </w:r>
    </w:p>
    <w:p>
      <w:r>
        <w:t>2. THE GEOGRAPHICAL MARKETS</w:t>
        <w:br/>
        <w:t>29. The European Commission retained a national dimension for the markets for road works, while not excluding the existence of local markets.</w:t>
        <w:br/>
        <w:t>30. The Competition Authority retained markets of departmental dimension.</w:t>
        <w:br/>
        <w:t>31. There is no reason to challenge these delimitations in the course of the present analysis.</w:t>
      </w:r>
    </w:p>
    <w:p>
      <w:r>
        <w:t>III. COMPETITIVE ANALYSIS</w:t>
        <w:br/>
        <w:t>32. The main effects of the operation considered are of a horizontal nature to the extent that the parties are competitors in the markets for the production and marketing of aggregates (1.) and asphalt (2.), as well as in those for earthwork services (3.) and road works (4.).</w:t>
      </w:r>
    </w:p>
    <w:p>
      <w:r>
        <w:rPr>
          <w:b/>
        </w:rPr>
        <w:t>[Pages 7–9]</w:t>
      </w:r>
    </w:p>
    <w:p>
      <w:r>
        <w:t>1. ON THE MARKETS FOR THE PRODUCTION AND MARKETING OF AGGREGATES</w:t>
        <w:br/>
        <w:t>33. EHRM operates a single quarry, located in Mont-Saint-Vincent (71), which produces volcanic massive aggregates10.</w:t>
        <w:br/>
        <w:t>34. Within an 80-kilometer radius, Colas holds a [50-60]% stake in the Rivolet quarry (69) which produces limestone massive aggregates11.</w:t>
        <w:br/>
        <w:t>35. Regardless of the market segment considered, the market share of the new entity is less than 5%.</w:t>
        <w:br/>
        <w:t>36. Given the level of this market share, the proposed operation is not likely to harm competition through horizontal effects in the markets for the production and marketing of aggregates.</w:t>
      </w:r>
    </w:p>
    <w:p>
      <w:r>
        <w:t>2. ON THE MARKETS FOR THE PRODUCTION AND MARKETING OF ASPHALT</w:t>
        <w:br/>
        <w:t>37. EHRM controls the fixed asphalt plant in Corgoloin (21) and holds [50-60]% of the capital of Morvan Enrobés, which operates a fixed plant in Arnay-le-Duc (21)12. EHRM does not operate a mobile plant.</w:t>
        <w:br/>
        <w:t>38. Within a 40-kilometer radius around these asphalt plants, Colas controls the fixed plants in Saint Aubin (10) and Marcigny (71). It holds a [60-70]% stake in the capital of Dijon Enrobés13 and [10-20]% in the capital of Chalon Enrobés14, which each operate a fixed plant, respectively in Savigny-le-Sec (21) and Saint-Marcel (71).</w:t>
        <w:br/>
        <w:t>39. Furthermore, Colas operates four mobile plants to cover the needs across the entire national territory, particularly in the context of maintenance operations for highways and airports to meet the contractual, technical, and timing constraints of these very specific projects.</w:t>
        <w:br/>
        <w:t>40. The market shares considered are expressed in volume because the "price" that the purchasing plants charge for supplying asphalt to their parent companies, which represent almost all of their production, corresponds to a transfer of the costs incurred to produce the asphalt, costs that are intrinsic to each plant.</w:t>
        <w:br/>
        <w:t>41. Regarding the plants owned by multiple companies, the calculation of market shares for the parties and their competitors is based on the actual removals of asphalt by their parent companies when known and estimates based on ownership percentages when not.</w:t>
        <w:br/>
        <w:t>42. Thus, in the 40-kilometer area around the Corgoloin plant, the market share of the new entity is estimated at [40-50]% (Colas: [20-30]%; ERHM: [10-20]%). In this area, the new entity continues to face competition from Eiffage ([20-30]%), Roger Martin ([10-20]%), and Eurovia ([10-20]%).</w:t>
        <w:br/>
        <w:t>43. In the 40-kilometer area around the Arnay-le-Duc plant, the market share of the new entity is estimated at [50-60]% (Colas: [20-30]%; ERHM: [20-30]%). In this area, the new entity continues to face competition from Eurovia ([20-30]%) and Guinot TP ([10-20]%).</w:t>
      </w:r>
    </w:p>
    <w:p>
      <w:r>
        <w:t>Analysis of Unilateral Effects</w:t>
        <w:br/>
        <w:t>44. The market shares of the new entity must, however, be put into perspective, particularly for two main reasons.</w:t>
        <w:br/>
        <w:t>45. On the one hand, they do not reflect the actual presence in the market as the production of these plants is almost entirely used for the internal needs of integrated companies. Thus, concerning the Corgoloin plant, only [0-5]% of the asphalt production is removed by third parties. This percentage is [0-5]% for the Arnay-le-Duc plant.</w:t>
        <w:br/>
        <w:t>46. On the other hand, following the proposed operation, there remain other asphalt suppliers in the two concerned areas who are able to absorb a shift in demand from third-party clients currently served by the plants in which Colas and EHRM hold an equity stake. These alternatives are all the more credible as changing asphalt suppliers can be done without delay or significant cost according to the notifying party.</w:t>
        <w:br/>
        <w:t>47. Thus, the proposed operation is not likely to harm competition through unilateral effects in the markets for the production and marketing of asphalt.</w:t>
      </w:r>
    </w:p>
    <w:p>
      <w:r>
        <w:t>Analysis of Coordinated Effects</w:t>
        <w:br/>
        <w:t>48. Given the concentrated structure of the examined markets and the existence of cross-shareholdings between competing companies, it is necessary to analyze the risks of coordinated effects.</w:t>
        <w:br/>
        <w:t>49. Such effects are likely to occur when the following conditions are met:</w:t>
        <w:br/>
        <w:t>- each member of the oligopoly must be able to know the behavior of the other members, in order to verify whether they adopt the same course of action (detection condition);</w:t>
        <w:br/>
        <w:t>- the situation of tacit coordination must be able to be maintained over time (deterrence condition);</w:t>
        <w:br/>
        <w:t>- the predictable reaction of current and potential competitors as well as customers must not undermine the expected results of the common course of action (non-contestation condition)15.</w:t>
        <w:br/>
        <w:t>50. In this case, the detection condition is not met16.</w:t>
        <w:br/>
        <w:t>51. Indeed, despite the existence of structural links between operators, the market for the production and marketing of asphalt is not sufficiently transparent to lead to implicit coordination of the competitive behavior of the members of the oligopoly. Indeed, the prices offered by asphalt suppliers, the identity of their clients, the volume of work carried out with these clients, or the volumes of asphalt sold to these clients are confidential information17. Furthermore, according to the notifying party, the fact that EHRM and Eurovia are joint shareholders of Morvan Enrobés does not allow them to know this information for the other asphalt plants in which they are individually shareholders or for their roadworks activities. Thus, Eurovia through its stake in Morvan Enrobés, for example, will have no information on Bourgogne Enrobés or on the Saint-Aubin plant18. Similarly, Colas and Eurovia will have no information on their roadworks activities.</w:t>
        <w:br/>
        <w:t>52. In any case, several characteristics of the concerned markets complicate the common understanding of the coordination model. As the Competition Authority recalls, “[i]t is all the more reasonable to anticipate a coordination of behaviors in a market, as it is simple for the companies concerned to reach a common assessment of the modalities of functioning of the coordination. For this, these companies must share the same vision regarding the strategies that can be considered as compliant with the common course of action, as well as those that are not. The probability of a mutual understanding emerging is therefore all the stronger as the market, as well as the environment in which it is situated, are stable and not complex”19.</w:t>
        <w:br/>
        <w:t>53. Thus, one can note the existence of a strong asymmetry of market shares between the members of the oligopoly (see paragraphs 42 and 43) which limits the risk of implicit coordination of their competitive behavior. However, the symmetry of companies is one of the criteria examined by the Competition Authority: a common definition of how coordination should function is all the easier to obtain when the companies concerned are “similar”.</w:t>
        <w:br/>
        <w:t>54. Furthermore, the local dimension of the concerned markets complicates this coordination. Thus, the Competition Authority has estimated that the local dimension of the markets makes tacit coordination between operators unlikely. Indeed, the multiplicity of markets complicates the monitoring of any potential coordination among the main players in the market.</w:t>
        <w:br/>
        <w:t>15 See the Guidelines of the Competition Authority regarding the control of concentrations, point 739.</w:t>
        <w:br/>
        <w:t>16 It is not necessary to analyze whether the deterrence and non-contestation conditions are met as the criteria for characterizing coordinated effects in a market are cumulative.</w:t>
        <w:br/>
        <w:t>17 In the case of public markets, the identity of the awardee as well as the total amount of its offer may be known once the market is awarded: however, this information is insufficient to know the price of the asphalt.</w:t>
        <w:br/>
        <w:t>18 The internal regulations of the GIE Morvan Enrobés govern the type of information that may be known by its members and do not allow for detailed knowledge of their roadworks activities.</w:t>
        <w:br/>
        <w:t>19 See the guidelines of the Competition Authority regarding the control of concentrations, point 744.</w:t>
      </w:r>
    </w:p>
    <w:p>
      <w:r>
        <w:rPr>
          <w:b/>
        </w:rPr>
        <w:t>[Pages 10–12]</w:t>
      </w:r>
    </w:p>
    <w:p>
      <w:r>
        <w:t>market, especially since they are not systematically present in all areas, making any attempt at coordination more complex.</w:t>
      </w:r>
    </w:p>
    <w:p>
      <w:r>
        <w:t>55. Finally, any coordination regarding the production of asphalt or road works between the new entity and its competitors in these markets would not be profitable. Indeed, there is strong competition in the downstream markets for road works characterized by a wide variety of companies, a very large number of demanders, fluctuations in demand, and significant bargaining power of the demanders in a declining market.</w:t>
      </w:r>
    </w:p>
    <w:p>
      <w:r>
        <w:t>56. Furthermore, just like Colas, competitors also have mobile plants that can be deployed in case of a shift in demand in the local areas affected by the operation. Thus, the fact that the competitors of the parties have such mobile plants also eliminates any risk of coordination at the local level since, due to the mobility of said plants, any anticipation of competitors' behavior becomes uncertain (first criterion), any long-term coordination also becomes uncertain (second criterion), and any reaction from competitors is rendered difficult to predict (third criterion).</w:t>
      </w:r>
    </w:p>
    <w:p>
      <w:r>
        <w:t>57. In light of the above, the proposed operation is not likely to harm competition through coordinated effects in the markets for the production and marketing of asphalt.</w:t>
      </w:r>
    </w:p>
    <w:p>
      <w:r>
        <w:t>58. In conclusion of this analysis of the horizontal effects of the proposed operation on the markets for the production and marketing of asphalt, any risk of harm to competition can be ruled out.</w:t>
      </w:r>
    </w:p>
    <w:p>
      <w:r>
        <w:t>3. ON THE EARTHWORK SERVICES MARKETS</w:t>
      </w:r>
    </w:p>
    <w:p>
      <w:r>
        <w:t>59. It appears from the elements of the file that, regardless of the segmentation considered, the market share of the new entity is below 10%.</w:t>
      </w:r>
    </w:p>
    <w:p>
      <w:r>
        <w:t>60. Therefore, the proposed operation is not likely to harm competition through horizontal effects in the earthwork services markets.</w:t>
      </w:r>
    </w:p>
    <w:p>
      <w:r>
        <w:t>4. ON THE ROAD WORKS MARKETS</w:t>
      </w:r>
    </w:p>
    <w:p>
      <w:r>
        <w:t>61. At the national level, the market share of the new entity is estimated at [10-20]%, with an increment resulting from the operation of [0-2] points.</w:t>
      </w:r>
    </w:p>
    <w:p>
      <w:r>
        <w:t>62. At the departmental level, the market shares of the parties are as follows:</w:t>
      </w:r>
    </w:p>
    <w:p>
      <w:r>
        <w:t>Department Colas EHRM New entity</w:t>
        <w:br/>
        <w:t>Côte d’Or [10-20]% [10-20]% [20-30]%</w:t>
        <w:br/>
        <w:t>Saône-et-Loire [20-30]% [0-5]% [20-30]%</w:t>
        <w:br/>
        <w:t>Haute-Marne [20-30]% [10-20]% [30-40]%</w:t>
        <w:br/>
        <w:t>Yonne [30-40]% [5-10]% [40-50]%</w:t>
        <w:br/>
        <w:t>Ardennes [10-20]% [0-5]% [10-20]%</w:t>
        <w:br/>
        <w:t>Aube [10-20]% [0-5]% [10-20]%</w:t>
        <w:br/>
        <w:t>Vosges [20-30]% [0-5]% [20-30]%</w:t>
        <w:br/>
        <w:t>Seine-et-Marne [10-20]% [0-5]% [20-30]%</w:t>
        <w:br/>
        <w:t>Jura [10-20]% [0-5]% [10-20]%</w:t>
        <w:br/>
        <w:t>Nièvre [30-40]% [0-5]% [30-40]%</w:t>
        <w:br/>
        <w:t>Cher [20-30]% [0-5]% [20-30]%</w:t>
        <w:br/>
        <w:t>Meurthe-et-Moselle [20-30]% [0-5]% [20-30]%</w:t>
        <w:br/>
        <w:t>Meuse [20-30]% [0-5]% [20-30]%</w:t>
        <w:br/>
        <w:t>Nord [20-30]% [0-5]% [20-30]%</w:t>
      </w:r>
    </w:p>
    <w:p>
      <w:r>
        <w:t>63. Thus, in most departments where the activities of the parties overlap, as well as at the national level, the market share of the new entity is below 25% or the increment in market shares of the parties resulting from the operation is very limited (less than 3 points). Therefore, the concentration is not likely to substantially alter the competitive structure of these markets.</w:t>
      </w:r>
    </w:p>
    <w:p>
      <w:r>
        <w:t>64. For the departments of Côte d’Or, Haute-Marne, and Yonne, the market shares of the new entity are between [20-30]% and [40-50]% with a market share increment exceeding 8 points.</w:t>
      </w:r>
    </w:p>
    <w:p>
      <w:r>
        <w:t>65. In Côte d’Or, the new entity ([20-30]%) will face competition from several operators that constitute credible alternatives: Roger Martin ([10-20]%), Eurovia ([10-20]%), Pennequin ([5-10]%), Eiffage Route ([0-5]%), and Guinot ([0-5]%). Any price increase for the services of the new entity would therefore not be profitable.</w:t>
      </w:r>
    </w:p>
    <w:p>
      <w:r>
        <w:t>66. The same applies in Haute-Marne, as the new entity ([30-40]%) will continue to face competition from its main competitors: Eiffage Route ([10-20]%), Eurovia ([10-20]%), Martel TP ([10-20]%), and Roger Martin ([5-10]%).</w:t>
      </w:r>
    </w:p>
    <w:p>
      <w:r>
        <w:t>67. Finally, in Yonne, the department where the new entity will hold its largest market share ([40-50]%), three national competitors will constitute credible alternatives: Eurovia ([20-30]%), Roger Martin ([10-20]%), and Eiffage Route ([5-10]%).</w:t>
      </w:r>
    </w:p>
    <w:p>
      <w:r>
        <w:t>68. The maintenance of competitive pressure on the new entity is facilitated by the tendering processes of public or private demanders, who select, within the framework of calls for tenders or competitive bidding, the company that offers the economically most advantageous bid for optimal service quality. The context of a significant decrease in the volume of road works markets or contracts launched in recent years reinforces this bargaining power.</w:t>
      </w:r>
    </w:p>
    <w:p>
      <w:r>
        <w:t>69. In view of all these elements, the proposed operation is not likely to harm competition through horizontal effects in the road works markets.</w:t>
      </w:r>
    </w:p>
    <w:p>
      <w:r>
        <w:t>DECIDES</w:t>
      </w:r>
    </w:p>
    <w:p>
      <w:r>
        <w:t>Single Article: The operation notified under number 25-273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