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https://www.autoritedelaconcurrence.fr/fr/decision-de-controle-des-concentrations/relative-la-prise-de-controle-exclusif-par-la-societe-emil</w:t>
      </w:r>
    </w:p>
    <w:p>
      <w:r>
        <w:t>Pages translated : 2</w:t>
      </w:r>
    </w:p>
    <w:p/>
    <w:p>
      <w:r>
        <w:rPr>
          <w:b/>
        </w:rPr>
        <w:t>[Pages 1–2]</w:t>
      </w:r>
    </w:p>
    <w:p>
      <w:r>
        <w:t xml:space="preserve">FRENCH REPUBLIC  </w:t>
        <w:br/>
        <w:t xml:space="preserve">Decision No. 16-DCC-45 of March 15, 2016  </w:t>
        <w:br/>
        <w:t xml:space="preserve">regarding the exclusive control acquisition by Emil Frey France  </w:t>
        <w:br/>
        <w:t xml:space="preserve">of the companies Garage des Grandes Fontaines and Garage et Ateliers J.J. Priod  </w:t>
        <w:br/>
        <w:t xml:space="preserve">The Competition Authority,  </w:t>
        <w:br/>
        <w:t xml:space="preserve">Having regard to the complete notification file submitted to the mergers department on February 12, 2016,  </w:t>
        <w:br/>
        <w:t xml:space="preserve">concerning the exclusive control acquisition by Emil Frey France of the companies Garage des Grandes Fontaines and Garage et Ateliers J.J. Priod, formalized by a share transfer agreement dated January 26,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Garage des Grandes Fontaines and Garage et Ateliers J.J. Priod, operating automotive concessions in the departments of Val d’Oise (95) and Hauts-de-Seine (92), by Emil Frey France, which is itself active in the distribution of motor vehicles in the departments of Hauts-de-Seine (92) and Paris (75).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16-032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