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https://www.autoritedelaconcurrence.fr/fr/decision-de-controle-des-concentrations/relative-la-prise-de-controle-exclusif-par-la-societe-expan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16-DCC-105 of July 12, 2016  </w:t>
        <w:br/>
        <w:t xml:space="preserve">regarding the exclusive control acquisition by the company Expan U Est of the  </w:t>
        <w:br/>
        <w:t xml:space="preserve">company SAS Faulquedis  </w:t>
        <w:br/>
        <w:t xml:space="preserve">The Competition Authority,  </w:t>
        <w:br/>
        <w:t xml:space="preserve">Having regard to the complete notification file submitted to the mergers department on June 10, 2016,  </w:t>
        <w:br/>
        <w:t xml:space="preserve">concerning the exclusive control acquisition by the company Expan U Est of the company SAS Faulquedis,  </w:t>
        <w:br/>
        <w:t xml:space="preserve">formalized by a letter of agreement dated February 5, 2016;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Expan U Est of the  </w:t>
        <w:br/>
        <w:t xml:space="preserve">company SAS Faulquedis operating a business under the Super U brand located in  </w:t>
        <w:br/>
        <w:t xml:space="preserve">Faulquemont in the Moselle department (57). It constitutes a concentration operation within the meaning of  </w:t>
        <w:br/>
        <w:t xml:space="preserve">Article L. 430-1 of the Commercial Code. Given the turnover achieved by the companies concerned, the  </w:t>
        <w:br/>
        <w:t xml:space="preserve">operation does not fall under the jurisdiction of the European Union. On the other hand, the control thresholds  </w:t>
        <w:br/>
        <w:t xml:space="preserve">related to retail trade mentioned in point II of Article L. 430-2 of the Commercial Code are exceeded. This  </w:t>
        <w:br/>
        <w:t xml:space="preserve">operation is therefore subject to the provisions of Articles L. 430-3 and following of the Commercial Code  </w:t>
        <w:br/>
        <w:t xml:space="preserve">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16-107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