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https://www.autoritedelaconcurrence.fr/fr/decision-de-controle-des-concentrations/relative-la-prise-de-controle-exclusif-par-la-societe-fplph</w:t>
      </w:r>
    </w:p>
    <w:p>
      <w:r>
        <w:t>Pages translated : 5</w:t>
      </w:r>
    </w:p>
    <w:p/>
    <w:p>
      <w:r>
        <w:rPr>
          <w:b/>
        </w:rPr>
        <w:t>[Pages 1–3]</w:t>
      </w:r>
    </w:p>
    <w:p>
      <w:r>
        <w:t xml:space="preserve">FRENCH REPUBLIC  </w:t>
        <w:br/>
        <w:t xml:space="preserve">Decision No. 16-DCC-11 of January 26, 2016  </w:t>
        <w:br/>
        <w:t>regarding the exclusive control by the company FPLPH (Casino group) of two retail stores with a predominant food focus</w:t>
      </w:r>
    </w:p>
    <w:p>
      <w:r>
        <w:t xml:space="preserve">The Competition Authority,  </w:t>
        <w:br/>
        <w:t xml:space="preserve">Having regard to the notification file submitted in full to the merger service on December 18, 2015, concerning the exclusive control by the company Franprix Leader Price Holding of two retail stores with a predominant food focus operated under the "U Express" brand, formalized by a countersigned offer letter dated October 13, 2015;  </w:t>
        <w:br/>
        <w:t xml:space="preserve">Having regard to Book IV of the Commercial Code relating to price and competition freedom, and in particular its Articles L. 430-1 to L. 430-7;  </w:t>
        <w:br/>
        <w:t xml:space="preserve">Having regard to the additional elements submitted by the parties during the investigation;  </w:t>
        <w:br/>
        <w:t>Adopts the following decision:</w:t>
      </w:r>
    </w:p>
    <w:p>
      <w:r>
        <w:t xml:space="preserve">I. The concerned companies and the operation  </w:t>
        <w:br/>
        <w:t xml:space="preserve">1. The Casino group, a French player in the predominantly food distribution sector, manages a network of over 14,500 stores (hypermarkets, supermarkets, convenience stores, discount stores) under brands including Franprix, Géant Casino, Casino Supermarché, Petit Casino, Spar, Vival, Monoprix, and Leader Price. The group is also present in the online distribution sector of non-food products with the brand Cdiscount.  </w:t>
        <w:br/>
        <w:t>2. It is composed of several subsidiaries, including the company Franprix Leader Price Holding (hereinafter "FPLPH"). FPLPH is a simplified joint-stock company whose corporate purpose includes the management and acquisition of stakes in companies operating stores under the Franprix and Leader Price brands.</w:t>
      </w:r>
    </w:p>
    <w:p>
      <w:r>
        <w:t xml:space="preserve">3. The targets of the operation are two retail stores with a predominant food focus operated under the "U Express" brand, currently controlled by the Coopérateurs de Normandie-Picardie, a regional cooperative active in the northwest of France.  </w:t>
        <w:br/>
        <w:t xml:space="preserve">4. The operation, formalized by a countersigned offer letter dated October 13, 2015, involves the transfer by the Coopérateurs de Normandie-Picardie to the company FPLPH of the business assets of two retail stores with a predominant food focus, as well as the ownership of the premises of one of them. As it results in the exclusive control of two retail stores with a predominant food focus by FPLPH, the operation constitutes a concentration operation within the meaning of Article L. 430-1 of the Commercial Code.  </w:t>
        <w:br/>
        <w:t xml:space="preserve">5. In accordance with Article 5, paragraph 2, second subparagraph, of Regulation No. 139/2004 to which Article L. 430-2 of the Commercial Code refers, “[...] two or more operations within the meaning of the first subparagraph that have occurred within a period of two years between the same persons or companies are to be considered as a single concentration occurring on the date of the last operation.” In this case, the present operation follows two operations that took place between the same parties – namely the Casino group and the Coopérateurs de Normandie-Picardie – within a period of less than two years. Under these conditions, it is necessary to include these two previous transfers in the scope of the operation to be examined in this specific case.  </w:t>
        <w:br/>
        <w:t>6. The concerned companies operate several retail stores and together achieve a total worldwide turnover of more than 75 million euros (Casino: 48.5 billion euros for the fiscal year ending December 31, 2014; the targets: [...] euros). They achieve in France, in the retail sector, a turnover exceeding 15 million euros (Casino: 20.4 billion euros for the fiscal year ending December 31, 2014; the targets: [...] euros). Given these turnover figures,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7. The markets concerned by the operation fall within the sector of predominantly food distribution.  </w:t>
        <w:br/>
        <w:t xml:space="preserve">1 These retail stores with a predominant food focus are located in Caudebec-lès-Elbeuf (76) and Rouen (76).  </w:t>
        <w:br/>
        <w:t xml:space="preserve">2 The store whose premises will be transferred to the company FPLPH in the context of the present operation is that of Caudebec-lès-Elbeuf.  </w:t>
        <w:br/>
        <w:t xml:space="preserve">3 See the decisions of the Competition Authority No. 14-DCC-11 of January 28, 2014, regarding the acquisition of control by the company Franprix Leader Price Holding of 47 retail stores with a predominant food focus Le Mutant and 22 butcher shop business assets and 14-DCC-146 of October 8, 2014, regarding the exclusive control by the company Casino Guichard-Perrachon of 63 retail stores with a predominant food focus.  </w:t>
        <w:br/>
        <w:t>4 The fiscal year considered for the present operation is that ending December 31, 2014; for the two previous transfers, it concerns the fiscal years ending December 31, 2012, and 2013.</w:t>
      </w:r>
    </w:p>
    <w:p>
      <w:r>
        <w:t>8. According to the consistent practice of national and community competition authorities, two categories of markets can be delineated in the predominantly food distribution sector. These are the "downstream" markets, which involve retail businesses and consumers for the sale of consumer goods, and the "upstream" supply markets where businesses as buyers interact with product manufacturers.</w:t>
      </w:r>
    </w:p>
    <w:p>
      <w:r>
        <w:t xml:space="preserve">A. UPSTREAM SUPPLY MARKETS  </w:t>
        <w:br/>
        <w:t xml:space="preserve">1. PRODUCT MARKETS  </w:t>
        <w:br/>
        <w:t xml:space="preserve">9. Regarding supply markets, the European Commission has identified the existence of markets of national dimension by major product groups, a delineation followed by national authorities.  </w:t>
        <w:br/>
        <w:t>10. There is no reason to challenge this delineation in the context of the present operation.</w:t>
      </w:r>
    </w:p>
    <w:p>
      <w:r>
        <w:t xml:space="preserve">2. GEOGRAPHICAL MARKETS  </w:t>
        <w:br/>
        <w:t xml:space="preserve">11. From a geographical perspective, the consistent decision-making practice of competition authorities considers that supply markets are of national dimension.  </w:t>
        <w:br/>
        <w:t>12. There is no reason to challenge the decision-making practice in the context of the present operation.</w:t>
      </w:r>
    </w:p>
    <w:p>
      <w:r>
        <w:t xml:space="preserve">B. DOWNSTREAM MARKETS OF FOOD RETAIL DISTRIBUTION  </w:t>
        <w:br/>
        <w:t xml:space="preserve">1. PRODUCT MARKETS  </w:t>
        <w:br/>
        <w:t>13. Regarding the retail sale of everyday consumer goods, decision-making practice distinguishes six categories of retail trade of everyday consumer goods, using several criteria, including store size, sales techniques, accessibility, the nature of the service provided, and the range of products offered: (i) hypermarkets (stores with a predominant food focus with a legal surface area of...</w:t>
      </w:r>
    </w:p>
    <w:p>
      <w:r>
        <w:rPr>
          <w:b/>
        </w:rPr>
        <w:t>[Pages 4–5]</w:t>
      </w:r>
    </w:p>
    <w:p>
      <w:r>
        <w:t>sale exceeding 2,500 m²), (ii) supermarkets (between 400 and 2,500 m²), (iii) specialized trade, (iv) small retail trade (less than 400 m²), (v) discount stores, (vi) mail-order sales.</w:t>
      </w:r>
    </w:p>
    <w:p>
      <w:r>
        <w:t>14. However, decision-making practice specifies that surface thresholds must be used with caution and can be adapted to the specific case, as stores whose surface area is close to a threshold, either below or above, may be in direct competition with stores of another category.</w:t>
      </w:r>
    </w:p>
    <w:p>
      <w:r>
        <w:t>15. Competition authorities consider that, while each store category retains its specificity, there is asymmetric competition between some of these categories. For the province and the near suburbs of Paris, they distinguish thus: (i) a market comprising only hypermarkets, and (ii) a market comprising supermarkets and equivalent forms of trade (hypermarkets, hard-discount, and popular stores) excluding small retail trade (less than 400 m²).</w:t>
      </w:r>
    </w:p>
    <w:p>
      <w:r>
        <w:t>16. In this case, the surface area of the target points of sale is between 400 m² and 2,500 m². The operation will therefore be analyzed in the market for supermarkets and equivalent forms of trade.</w:t>
      </w:r>
    </w:p>
    <w:p>
      <w:r>
        <w:t>2. GEOGRAPHICAL MARKETS</w:t>
      </w:r>
    </w:p>
    <w:p>
      <w:r>
        <w:t>17. It follows from decision-making practice that the conditions of competition are assessed in two different areas according to the size of the stores:</w:t>
        <w:br/>
        <w:t>- a market where the demand from consumers meets the supply of supermarkets and equivalent forms of trade located within 15 minutes of driving time. These latter forms of trade may include, in addition to supermarkets, hypermarkets located near consumers and discount stores;</w:t>
        <w:br/>
        <w:t>- a second market where the demand from consumers in one area meets the supply of hypermarkets that they can access within 30 minutes of driving time and which are, from their perspective, substitutable for each other.</w:t>
      </w:r>
    </w:p>
    <w:p>
      <w:r>
        <w:t>18. However, the attractiveness of stores of the same format may vary depending on the density and quality of the commercial equipment in an area. The socio-economic characteristics of the area in question (population density, economic activity, geography, state of the road network) may also lead to refining, in the specific case, the usual delineations presented above. The presence of drive-throughs in the catchment area may be taken into account qualitatively.</w:t>
      </w:r>
    </w:p>
    <w:p>
      <w:r>
        <w:t>19. In this case, the target points of sale are located in Caudebec-lès-Elbeuf (76) and Rouen (76). The competitive analysis will therefore be conducted on the market including all hypermarkets, supermarkets, and equivalent forms of trade located within 15-minute catchment areas around the target points of sale.</w:t>
      </w:r>
    </w:p>
    <w:p>
      <w:r>
        <w:t>III. Competitive Analysis</w:t>
      </w:r>
    </w:p>
    <w:p>
      <w:r>
        <w:t>A. UPSTREAM SUPPLY MARKETS</w:t>
      </w:r>
    </w:p>
    <w:p>
      <w:r>
        <w:t>20. Regarding upstream supply markets, the operation only concerns two supermarkets, whose total cumulative purchases amount to approximately […] euros for the year 2015, representing less than [0-5]% of the supply market. The purchasing power of the Casino group is therefore not likely to be strengthened, across all products as well as by product categories, due to the operation.</w:t>
      </w:r>
    </w:p>
    <w:p>
      <w:r>
        <w:t>21. Consequently, the operation is not likely to harm competition in the upstream supply market.</w:t>
      </w:r>
    </w:p>
    <w:p>
      <w:r>
        <w:t>B. DOWNSTREAM MARKETS FOR FOOD-RELATED RETAIL DISTRIBUTION</w:t>
      </w:r>
    </w:p>
    <w:p>
      <w:r>
        <w:t>22. The operation entails an overlap of activities between the target stores and other stores owned by the Casino group in the two catchment areas.</w:t>
      </w:r>
    </w:p>
    <w:p>
      <w:r>
        <w:t>23. In these two areas, the cumulative market share of the parties will remain below [10-20]% following the operation. The new entity will also face competition in these areas from at least five competing distribution groups. In the Caudebec-lès-Elbeuf area, the new entity will notably face competition from Carrefour, which holds [40-50]% market share in the area, and Leclerc with [30-40]% market share. In the Rouen area, the main competitors are as follows: Système U ([20-30]% market share), ITM ([20-30]%), Carrefour ([10-20]%), and Leclerc ([10-20]%).</w:t>
        <w:br/>
        <w:t xml:space="preserve"> </w:t>
        <w:br/>
        <w:t>24. The operation is therefore not likely to harm competition in the Caudebec-lès-Elbeuf (76) and Rouen (76) areas.</w:t>
      </w:r>
    </w:p>
    <w:p>
      <w:r>
        <w:t>DECIDES</w:t>
      </w:r>
    </w:p>
    <w:p>
      <w:r>
        <w:t>Sole Article: The operation notified under number 15-239 is authorized.</w:t>
      </w:r>
    </w:p>
    <w:p>
      <w:r>
        <w:t>The President,</w:t>
        <w:br/>
        <w:t>Bruno Lasserre</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