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https://www.autoritedelaconcurrence.fr/fr/decision-de-controle-des-concentrations/relative-la-prise-de-controle-exclusif-par-la-societe-gemy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16-DCC-132 of August 11, 2016  </w:t>
        <w:br/>
        <w:t xml:space="preserve">regarding the exclusive control acquisition by the company  </w:t>
        <w:br/>
        <w:t xml:space="preserve">Gemy Distribution Automobiles of the company Côte d’Amour  </w:t>
        <w:br/>
        <w:t xml:space="preserve">Automobiles  </w:t>
        <w:br/>
        <w:t xml:space="preserve">The Competition Authority,  </w:t>
        <w:br/>
        <w:t xml:space="preserve">Having regard to the notification file sent to the mergers department on June 16, 2016, and declared  </w:t>
        <w:br/>
        <w:t xml:space="preserve">complete on July 15, 2016, concerning the exclusive control acquisition by the company Gemy Distribution  </w:t>
        <w:br/>
        <w:t xml:space="preserve">Automobiles of the company Côte d’Amour Automobiles, formalized by a share transfer agreement dated May 19,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 </w:t>
        <w:br/>
        <w:t xml:space="preserve">Gemy Distribution Automobiles of the company Côte d’Amour Automobiles operating a  </w:t>
        <w:br/>
        <w:t xml:space="preserve">Citroën brand car dealership in the department of Loire-Atlantique (44).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16-109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