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https://www.autoritedelaconcurrence.fr/fr/decision-de-controle-des-concentrations/relative-la-prise-de-controle-exclusif-par-la-societe-ggba</w:t>
      </w:r>
    </w:p>
    <w:p>
      <w:r>
        <w:t>Pages translated : 4</w:t>
      </w:r>
    </w:p>
    <w:p/>
    <w:p>
      <w:r>
        <w:rPr>
          <w:b/>
        </w:rPr>
        <w:t>[Pages 1–3]</w:t>
      </w:r>
    </w:p>
    <w:p>
      <w:r>
        <w:t xml:space="preserve">FRENCH REPUBLIC  </w:t>
        <w:br/>
        <w:t xml:space="preserve">Decision No. 12-DCC-144 of October 11, 2012  </w:t>
        <w:br/>
        <w:t xml:space="preserve">regarding the exclusive control by the company GGBA  </w:t>
        <w:br/>
        <w:t xml:space="preserve">of the companies Paul Kroely Sport 54, Polygone Tomblaine, and  </w:t>
        <w:br/>
        <w:t>Paul Kroely Wolfsburg Toul</w:t>
      </w:r>
    </w:p>
    <w:p>
      <w:r>
        <w:t xml:space="preserve">The Competition Authority,  </w:t>
        <w:br/>
        <w:t xml:space="preserve">Having regard to the notification file sent to the merger service on August 23, 2012, and declared complete on September 14, 2012, regarding the exclusive control of the companies Paul Kroely Sport 54, Polygone Tomblaine, and Paul Kroely Wolfsburg Toul by the company GGBA, materialized by a transfer protocol dated July 31, 2012;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GGBA is a company under French law, a subsidiary of […] % of PGA Motors, which is itself indirectly controlled by Porsche Holding GmbH. The latter has been controlled since March 1, 2011, by Volkswagen AG. GGBA is active in the automotive trade sector. In this capacity, it manages and controls a network of car dealerships for the brands Renault, Volkswagen, Audi, BMW, Toyota, Nissan, as well as [confidential] a technical control company.  </w:t>
        <w:br/>
        <w:t xml:space="preserve">2. The SAS Paul Kroely Sport 54, Polygone Tomblaine, and EURL Paul Kroely Wolfsburg Toul (hereinafter, "the target companies") are active in the distribution and repair of motor vehicles and operate three dealerships for the brands Seat, Audi, and Volkswagen in Laxou, Tomblaine, and Dommartin-les-Toul in the department of Meurthe-et-Moselle (54).  </w:t>
        <w:br/>
        <w:t xml:space="preserve">3. The contemplated operation, materialized in a share transfer agreement dated July 31, 2012, consists of the acquisition by GGBA of all the shares comprising the capital of the target companies currently held by the companies Paul Kroely Automobiles, Polygone Automobiles, and Mr. Paul Kroely. In that it results in the exclusive control of the companies Paul Kroely Sport 54, Polygone Tomblaine, and Paul Kroely Wolfsburg, the notified operation is a concentration within the meaning of Article L. 430-1 of the Commercial Code.  </w:t>
        <w:br/>
        <w:t>4. The companies concerned operate one or more retail stores and together achieve a total worldwide turnover of more than 75 million euros (Volkswagen Group: 159.33 billion euros for the fiscal year ending December 31, 2011; SAS Paul Kroely Sport: 54.5 million euros in turnover for the fiscal year ending December 31, 2011; Paul Kroely Wolfsburg: 1.8 million euros for the fiscal year ending December 31, 2011; and Polygone Tomblaine: 64.6 million euros for the fiscal year ending December 31, 2011). At least two of these companies operate a retail store and achieve in France a turnover exceeding 15 million euros (Porsche Holding: […] euros in turnover achieved in France for the fiscal year ending December 31, 2011; SAS Polygone Tomblaine: […] euros in turnover entirely achieved in France for the fiscal year ending December 31, 2011).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MARKETS  </w:t>
        <w:br/>
        <w:t xml:space="preserve">5. In the automotive distribution sector, decision-making practice distinguishes (i) the distribution of new motor vehicles intended for individual customers; (ii) the distribution of new motor vehicles intended for professional customers; (iii) the distribution of commercial vehicles (notably light utility vehicles); (iv) the distribution of used motor vehicles; (v) the distribution of spare parts and automotive accessories; (vi) the distribution of vehicle maintenance and repair services; (vii) the distribution of rental services.  </w:t>
        <w:br/>
        <w:t xml:space="preserve">6. There is no need to challenge these delimitations during the examination of the present operation.  </w:t>
        <w:br/>
        <w:t>7. The companies concerned are simultaneously present in each of these markets, except for the rental services market.</w:t>
      </w:r>
    </w:p>
    <w:p>
      <w:r>
        <w:t xml:space="preserve">B. GEOGRAPHICAL DELIMITATION OF MARKETS  </w:t>
        <w:br/>
        <w:t xml:space="preserve">8. Regarding the retail sale of motor vehicles, new or used, spare parts, and automotive accessories, as well as vehicle maintenance and repair services, decision-making practice retains a local definition, with the analysis generally conducted at the departmental level.  </w:t>
        <w:br/>
        <w:t>9. In the present case, the activities of the parties overlap in the department of Meurthe-et-Moselle (54). The competitive analysis will therefore be conducted in this department.</w:t>
      </w:r>
    </w:p>
    <w:p>
      <w:r>
        <w:t xml:space="preserve">III. Competitive Analysis  </w:t>
        <w:br/>
        <w:t xml:space="preserve">10. Concerning the sale of new vehicles, decision-making practice uses as an indicator, for the calculation of market shares, the ratio between the sales made by the parties in the department concerned by the operation and the total registrations of new vehicles of the corresponding category recorded in this same department by the prefectures.  </w:t>
        <w:br/>
        <w:t xml:space="preserve">11. In the department of Meurthe-et-Moselle (54), on the various markets concerned by the operation, the parties to the concentration present the following market shares:  </w:t>
        <w:br/>
        <w:t xml:space="preserve">Meurthe-et-Moselle (54)  </w:t>
        <w:br/>
        <w:t xml:space="preserve">PGA Motors Target Companies Total  </w:t>
        <w:br/>
        <w:t xml:space="preserve">Distribution of new motor vehicles intended for individual customers 3.4% 9% 12.4%  </w:t>
        <w:br/>
        <w:t xml:space="preserve">Distribution of new motor vehicles intended for professional customers 3.6% 12.5% 16.1%  </w:t>
        <w:br/>
        <w:t xml:space="preserve">Distribution of new commercial vehicles 1.7% 2.3% 4.1%  </w:t>
        <w:br/>
        <w:t xml:space="preserve">Distribution of used vehicles 1% 1.6% 2.6%  </w:t>
        <w:br/>
        <w:t xml:space="preserve">12. Following the operation, the PGA group will represent a market share of less than 17% in the various markets for the distribution of new motor vehicles, and a share of less than 3% in the market for the distribution of used vehicles. The PGA group will continue to face competition in this department from other companies specialized in the sale of motor vehicles.  </w:t>
        <w:br/>
        <w:t>13. In the market for the retail sale of spare parts and automotive accessories and in the market for vehicle maintenance and repair services, the parties estimated their combined market shares at 5% for the department of Meurthe-et-Moselle. The competition in these markets is ensured by other dealers, several independent garages and repairers, as well as specialized brands such as Midas, Norauto, Speedy, and Feu vert.</w:t>
      </w:r>
    </w:p>
    <w:p>
      <w:r>
        <w:rPr>
          <w:b/>
        </w:rPr>
        <w:t>[Pages 4–4]</w:t>
      </w:r>
    </w:p>
    <w:p>
      <w:r>
        <w:t>14. In light of the preceding elements, the operation is not likely to harm competition in the relevant markets.</w:t>
      </w:r>
    </w:p>
    <w:p>
      <w:r>
        <w:t>DECIDES</w:t>
      </w:r>
    </w:p>
    <w:p>
      <w:r>
        <w:t>Sole Article: The operation notified under number 12-142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