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https://www.autoritedelaconcurrence.fr/fr/decision-de-controle-des-concentrations/relative-la-prise-de-controle-exclusif-par-la-societe-hazel</w:t>
      </w:r>
    </w:p>
    <w:p>
      <w:r>
        <w:t>Pages translated : 2</w:t>
      </w:r>
    </w:p>
    <w:p/>
    <w:p>
      <w:r>
        <w:rPr>
          <w:b/>
        </w:rPr>
        <w:t>[Pages 1–2]</w:t>
      </w:r>
    </w:p>
    <w:p>
      <w:r>
        <w:t xml:space="preserve">FRENCH REPUBLIC  </w:t>
        <w:br/>
        <w:t xml:space="preserve">Decision No. 19-DCC-58 of April 5, 2019  </w:t>
        <w:br/>
        <w:t>regarding the exclusive control acquisition by the company Hazel Bidco (La Piadineria) of the company Hana Group (Sushi Market and Sushi Gourmet)</w:t>
      </w:r>
    </w:p>
    <w:p>
      <w:r>
        <w:t>The Competition Authority,</w:t>
      </w:r>
    </w:p>
    <w:p>
      <w:r>
        <w:t>Having regard to the complete notification file sent to the mergers department on March 19, 2019, concerning the exclusive control acquisition by the company Hazel Bidco of the company Hana Group, formalized by a sale agreement signed on February 14, 2019;</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by the company Hazel Bidco, ultimately controlled by the investment fund Permira, of the company Hana Group. It constitutes a concentration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2. The markets concerned by the operation are those of commercial catering, concession catering, and the supply of food products, defined consistently by the decision-making practice of the competition authorities.</w:t>
      </w:r>
    </w:p>
    <w:p>
      <w:r>
        <w:t>3. Regardless of the segmentations retained, the combined market shares of the parties are below 25%.</w:t>
      </w:r>
    </w:p>
    <w:p>
      <w: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19-058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