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https://www.autoritedelaconcurrence.fr/fr/decision-de-controle-des-concentrations/relative-la-prise-de-controle-exclusif-par-la-societe-itm-1</w:t>
      </w:r>
    </w:p>
    <w:p>
      <w:r>
        <w:t>Pages translated : 6</w:t>
      </w:r>
    </w:p>
    <w:p/>
    <w:p>
      <w:r>
        <w:rPr>
          <w:b/>
        </w:rPr>
        <w:t>[Pages 1–3]</w:t>
      </w:r>
    </w:p>
    <w:p>
      <w:r>
        <w:t xml:space="preserve">FRENCH REPUBLIC  </w:t>
        <w:br/>
        <w:t xml:space="preserve">Decision No. 12-DCC-183 of December 27, 2012  </w:t>
        <w:br/>
        <w:t xml:space="preserve">regarding the exclusive control by ITM Entreprises  </w:t>
        <w:br/>
        <w:t>of eleven retail food business assets</w:t>
      </w:r>
    </w:p>
    <w:p>
      <w:r>
        <w:t xml:space="preserve">The Competition Authority,  </w:t>
        <w:br/>
        <w:t xml:space="preserve">Having regard to the notification file submitted in full to the merger service on November 23, 2012, regarding the exclusive control of eleven retail food business assets by ITM Entreprises, formalized by a protocol agreement concluded between CSF, Carrefour Property France, Amidis et Cie, and ITM Entreprises on November 15, 2012;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1. ITM Entreprises, 100% controlled by the Société civile des Mousquetaires, itself held by more than 1,400 individuals known as "associated members," leads and animates the network of independent merchants known as the "Groupement des Mousquetaires." As a franchisor, ITM Entreprises' main activity is to animate a network of retail businesses focused on food and non-food, operated by independent merchants under the brands Intermarché, Ecomarché, Netto, Bricomarché, and Roady, and also animates two restaurant networks operated under the brands Restaumarché and Poivre Rouge. This management is carried out notably through the signing and monitoring of brand contracts with the companies operating these businesses. ITM Entreprises provides its franchisees with various services, including prospecting, consulting, and training. ITM Entreprises also offers franchisees the opportunity to benefit from advantageous supply conditions from its national and regional subsidiaries as well as from external suppliers referenced outside the "Groupement des Mousquetaires" (hereinafter "ITM").</w:t>
      </w:r>
    </w:p>
    <w:p>
      <w:r>
        <w:t xml:space="preserve">2. The eleven target points of sale (hereinafter "the target stores") are supermarkets and hypermarkets currently controlled by Carrefour SA, the parent holding company of the Carrefour group, notably through its subsidiaries Amidis et Cie, CSF, and Lefaubas. These eleven points of sale, operated under the Carrefour Market brand, are as follows:  </w:t>
        <w:br/>
        <w:t xml:space="preserve">- a supermarket of 1,183 m², located on route des Fatines in Champagné (72470);  </w:t>
        <w:br/>
        <w:t xml:space="preserve">- a supermarket of 1,100 m², located at 1-3 rue Alexandre Lefas in Rennes (35000);  </w:t>
        <w:br/>
        <w:t xml:space="preserve">- a supermarket of 1,800 m², located at 50, route nationale in Brebières (62117);  </w:t>
        <w:br/>
        <w:t xml:space="preserve">- a supermarket of 1,172 m², located at 2 rue Principale in Campagne-les-Wardrecques (62120);  </w:t>
        <w:br/>
        <w:t xml:space="preserve">- a supermarket of 1,200 m², located at 34, route d’Honschoote in Hoymille (59492);  </w:t>
        <w:br/>
        <w:t xml:space="preserve">- a supermarket of 1,597 m², located on Boulevard Branly in La Chapelle Launay (44260);  </w:t>
        <w:br/>
        <w:t xml:space="preserve">- a supermarket of 1,200 m², located at 17 quai Carnot in Concarneau (29900);  </w:t>
        <w:br/>
        <w:t xml:space="preserve">- a supermarket of 1,661 m², located on rue Ernest Renan in Rosporden (29140);  </w:t>
        <w:br/>
        <w:t xml:space="preserve">- a supermarket of 2,335 m², located at 11 avenue du Président François Mitterrand in Hennebont (56700);  </w:t>
        <w:br/>
        <w:t xml:space="preserve">- a hypermarket of 3,388 m², located at 21 boulevard de la gare in Loudéac (22600);  </w:t>
        <w:br/>
        <w:t>- a hypermarket of 2,812 m², located on avenue de l’Europe in Barbezieux (16300).</w:t>
      </w:r>
    </w:p>
    <w:p>
      <w:r>
        <w:t>3. The notified operation, formalized by the protocol signed on November 15, 2012, by ITM Entreprises and the companies CSF, Carrefour Property France, and Amidis et Cie, consists of the acquisition by ITM Entreprises of the business assets of the eleven target stores as well as the real estate assets in which the stores in Wardrecques, Concarneau, Rennes - Le Gast, Hoymille, Rosporden, Champagné, Brebières, and Loudéac are operated. As it results in the exclusive control of the eleven target stores by ITM Entreprises, the operation constitutes a concentration within the meaning of Article L. 430-1 of the Commercial Code.</w:t>
      </w:r>
    </w:p>
    <w:p>
      <w:r>
        <w:t>4. The concerned companies together achieve a total worldwide turnover of more than 150 million euros (ITM: […] euros for the 2011 fiscal year; the target stores: […] euros for the same fiscal year). At least two of these companies achieve a turnover in France exceeding 50 million euros (ITM: […] euros for the fiscal year ending in 2011; the target stores: […] euros for the same fiscal year). Given these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According to the decision-making practice of the competition authorities, two categories of markets can be delineated in the food retail sector. They are,</w:t>
      </w:r>
    </w:p>
    <w:p>
      <w:r>
        <w:t xml:space="preserve">1 By this protocol, ITM Entreprises has committed to sell to Carrefour four business assets and a company operating a store, in execution of the commitments it made before the Competition Authority in the context of Decision No. 12-DCC-48 of April 6, 2012, regarding the exclusive control of Sofides by ITM Entreprises.  </w:t>
        <w:br/>
        <w:t>2 See in particular the decisions of the Competition Authority No. 12-DCC-48 of April 6, 2012, regarding the exclusive control of Sofides by ITM Entreprises, and Decision No. 12-DCC-125 of August 27, 2012, regarding the joint control of 28 retail stores focused on food by the Union of Alsace Cooperators and the Association of E.Leclerc Distribution Centers. See also the decision of the European Commission M. 1221, Rewe / Meinl of February 3, 1999, and M. 1684, Carrefour / Promodès, of January 25, 2000.</w:t>
      </w:r>
    </w:p>
    <w:p>
      <w:r>
        <w:t>on the one hand, "downstream" markets, of local dimension, which bring together retail businesses and consumers for the sale of consumer goods, and on the other hand, "upstream" markets for the supply of retail businesses with everyday consumer goods, of national dimension.</w:t>
      </w:r>
    </w:p>
    <w:p>
      <w:r>
        <w:t xml:space="preserve">A. DOWNSTREAM DISTRIBUTION MARKETS  </w:t>
        <w:br/>
        <w:t xml:space="preserve">1. SERVICE MARKETS  </w:t>
        <w:br/>
        <w:t>6.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commerce, (iv) small retail commerce, (v) maxi discounters, (vi) mail order sales.</w:t>
      </w:r>
    </w:p>
    <w:p>
      <w:r>
        <w:t>7. Supermarkets are usually defined as food-focused stores with a legal sales area of less than 2,500 m², and hypermarkets as stores with a legal sales area of more than 2,500 m². In this case, the stores concerned by the operation currently occupy sales areas ranging from 1,100 m² to 3,388 m², with two of the concerned stores falling into the hypermarket category and nine into the supermarket category.</w:t>
      </w:r>
    </w:p>
    <w:p>
      <w:r>
        <w:t>8. However, while the overall service provided by hypermarkets (product diversity, depth of ranges, accessibility, low prices) is specific and not provided by any other form of commerce, the size criterion that determines the extent of the assortment of ranges between supermarkets and hypermarkets must be used with caution in each case, as stores whose area is close to the threshold that distinguishes them (2,500 m²), whether below or above, may in fact be in direct competition. Therefore, the conditions under which the market actually operates are taken into account, notably the fact that, in a number of geographical configurations, a hypermarket may typically be used by certain consumers as a proximity store, substituting for a supermarket. Conversely, the reverse is almost never verified and is even less so as the size of the hypermarket in question is significant.</w:t>
      </w:r>
    </w:p>
    <w:p>
      <w:r>
        <w:t>9. Consequently, the analysis is conducted, on the one hand, on a market comprising only hypermarkets and, on the other hand, on a market including all formats (hypermarkets, supermarkets, hard-discounters), excluding convenience stores (less than 400 m²).</w:t>
      </w:r>
    </w:p>
    <w:p>
      <w:r>
        <w:t xml:space="preserve">2. GEOGRAPHICAL DELIMITATION  </w:t>
        <w:br/>
        <w:t xml:space="preserve">10. It follows from the decision-making practice that the conditions of competition are assessed in two different areas depending on the size of the stores:  </w:t>
        <w:br/>
        <w:t>3 See in particular Decision No. 11-DCC-04 of January 28, 2011, regarding the exclusive control of Mafical by ITM Alimentaire Région parisienne; Decision No. 11-DCC-05 of January 17, 2011, regarding the exclusive control of Distri Sud-Ouest by Retail Leader Price Investissement; and Decision No. 11-DCC-45 of March 18, 2011, regarding the exclusive control of the business asset of the Cora Desmarais hypermarket by Sodex Desmarais.</w:t>
      </w:r>
    </w:p>
    <w:p>
      <w:r>
        <w:rPr>
          <w:b/>
        </w:rPr>
        <w:t>[Pages 4–6]</w:t>
      </w:r>
    </w:p>
    <w:p>
      <w:r>
        <w:t>- a market where consumer demand meets the supply of supermarkets and equivalent forms of commerce located within a 15-minute drive. These latter forms of commerce may include, in addition to supermarkets, hypermarkets located near consumers and discount stores;</w:t>
        <w:br/>
        <w:t>- a second market where the demand of consumers in an area meets the supply of hypermarkets accessible within a 30-minute drive and which are, from their perspective, substitutable with each other.</w:t>
      </w:r>
    </w:p>
    <w:p>
      <w:r>
        <w:t>11. However, the attractiveness of stores of the same format may vary depending on the density and quality of the commercial facilities in an area. The socio-economic characteristics of the concerned area (population density, economic activity, geography, state of the road network) may also lead to refining, in the specific case, the usual delimitations presented above.</w:t>
      </w:r>
    </w:p>
    <w:p>
      <w:r>
        <w:t>B. UPSTREAM SUPPLY MARKETS</w:t>
      </w:r>
    </w:p>
    <w:p>
      <w:r>
        <w:t>12. Regarding supply markets, the European Commission has recognized the existence of national dimension markets by major product groups, a delimitation followed by national authorities.</w:t>
      </w:r>
    </w:p>
    <w:p>
      <w:r>
        <w:t>13. There is no need to challenge this delimitation in the context of the present operation.</w:t>
      </w:r>
    </w:p>
    <w:p>
      <w:r>
        <w:t>III. Competitive Analysis</w:t>
      </w:r>
    </w:p>
    <w:p>
      <w:r>
        <w:t>A. UPSTREAM SUPPLY MARKETS</w:t>
      </w:r>
    </w:p>
    <w:p>
      <w:r>
        <w:t>14. Regarding upstream supply markets, the purchases of all members of the ITM group represented approximately […] euros in 2011, or [10-20]% of the overall supply market. The share of purchases by the Intermarché group is below 20% regardless of the product category considered. It should be noted that the cumulative amount of purchases made by the eleven stores involved in the operation is less than […] euros, or [0-5]% of the amount of purchases made in France in the upstream supply market. The share of cumulative purchases of these eleven target stores in each of the markets defined by product category by decision-making practice is below 0.5%. The operation is therefore not likely to strengthen the purchasing power of the ITM group in the upstream supply markets, regardless of the market segmentation retained.</w:t>
      </w:r>
    </w:p>
    <w:p>
      <w:r>
        <w:t>15. Consequently, the operation is not likely to harm competition in the upstream supply markets.</w:t>
      </w:r>
    </w:p>
    <w:p>
      <w:r>
        <w:t>4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as well as the decisions of the Competition Authority n°11-DCC-45, 11-DCC-05 and 11-DCC-04 mentioned above.</w:t>
      </w:r>
    </w:p>
    <w:p>
      <w:r>
        <w:t>B. DOWNSTREAM RETAIL MARKETS WITH A FOOD DOMINANCE</w:t>
      </w:r>
    </w:p>
    <w:p>
      <w:r>
        <w:t>1. ANALYSIS RELATING TO THE SUPERMARKETS INVOLVED IN THE OPERATION.</w:t>
      </w:r>
    </w:p>
    <w:p>
      <w:r>
        <w:t>16. The operation involves an overlap with other stores owned by the ITM group in the following 8 catchment areas: Champagné (72), Rennes Le Gast (35), Brebières (62), Campagne-les-Wardrecques (62), Hoymille (59), La Chapelle Launay (44), Concarneau (29), and Hennebont (56).</w:t>
      </w:r>
    </w:p>
    <w:p>
      <w:r>
        <w:t>17. The market shares of the target and the ITM group in the relevant catchment areas are as follows:</w:t>
        <w:br/>
        <w:t>ITM Target Cumulative</w:t>
        <w:br/>
        <w:t>Champagné [5-10]% [0-5]% [5-10]%</w:t>
        <w:br/>
        <w:t>Rennes Le Gast [10-20]% [0-5]% [10-20]%</w:t>
        <w:br/>
        <w:t>Brebières [5-10]% [0-5]% [10-20]%</w:t>
        <w:br/>
        <w:t>Campagne-les-Wardrecques [5-10]% [0-5]% [10-20]%</w:t>
        <w:br/>
        <w:t>Hoymille [10-20]% [5-10]% [10-20]%</w:t>
        <w:br/>
        <w:t>La Chapelle Launay [20-30]% [5-10]% [20-30]%</w:t>
        <w:br/>
        <w:t>Concarneau [20-30]% [5-10]% [20-30]%</w:t>
        <w:br/>
        <w:t>Hennebont [20-30]% [10-20]% [40-50]%</w:t>
      </w:r>
    </w:p>
    <w:p>
      <w:r>
        <w:t>18. In the 15-minute catchment areas defined around the supermarkets of Champagné, Rennes-Le Gast, Brebières, Campagne, Hoymille, La Chapelle Launay, and Concarneau, the cumulative market share of the parties remains below 35%. The new entity will not be a leader and will continue to face competition from numerous brands, notably the Carrefour, Auchan, Leclerc, Système U, Casino, Dia, and Lidl groups.</w:t>
      </w:r>
    </w:p>
    <w:p>
      <w:r>
        <w:t>19. In the market including supermarkets and equivalent forms of commerce located within a 15-minute drive from the Hennebont store, ITM would be present after the operation through the target store (2,335 m²), Netto stores in Hennebont (656 m²) and Caudan (465 m²), and Intermarché Super stores in Languidic (1,990 m²) and Merlevenez (1,277 m²). With [40-50]% market share, ITM will face competition in this area from two Leclerc stores of 5,408 m² and 999 m² (representing cumulatively [30-40]% of the sales areas in the zone), as well as a Carrefour Contact of 857 m² ([5-10]%), a Lidl of 950 m² ([5-10]%), a Dia of 805 m² ([0-5]%), and an Aldi of 572 m² ([0-5]%).</w:t>
      </w:r>
    </w:p>
    <w:p>
      <w:r>
        <w:t>20. In light of these elements, the operation is not likely to harm competition in the catchment areas defined around the target supermarkets.</w:t>
      </w:r>
    </w:p>
    <w:p>
      <w:r>
        <w:t>2. ANALYSIS RELATING TO THE HYPERMARKETS INVOLVED IN THE OPERATION</w:t>
      </w:r>
    </w:p>
    <w:p>
      <w:r>
        <w:t>21. The operation involves an overlap with other stores owned by the ITM group in the catchment areas of Loudéac (22) and Barbizieux (16).</w:t>
      </w:r>
    </w:p>
    <w:p>
      <w:r>
        <w:t>Loudéac (22)</w:t>
      </w:r>
    </w:p>
    <w:p>
      <w:r>
        <w:t>22. In the market including supermarkets and equivalent forms of commerce located within a 15-minute drive from the target hypermarket in Loudéac, the operation does not result in any overlap of activities as no other ITM store is present.</w:t>
      </w:r>
    </w:p>
    <w:p>
      <w:r>
        <w:t>5 ITM has no stores in the Rosporden (29) area.</w:t>
      </w:r>
    </w:p>
    <w:p>
      <w:r>
        <w:t>23. In the market including hypermarkets located within a 30-minute drive from the target store, the store operated by the target (3,388 m²) represents [10-20]% of the sales areas, while the Intermarché in Pontivy (5,298 m²) represents [20-30]% of the sales areas. The parties thus hold a cumulative market share of [30-40]%. ITM will face competition in this area from three Leclerc stores of 3,800 m², 3,910 m², and 2,897 m² (representing cumulatively [40-50]% of the sales areas in the zone), a Carrefour store of 2,500 m² ([10-20]% of the sales areas in the zone), and a Super U store of 2,650 m² ([10-20]% of the sales areas in the zone).</w:t>
      </w:r>
    </w:p>
    <w:p>
      <w:r>
        <w:t>Barbezieux (16)</w:t>
      </w:r>
    </w:p>
    <w:p>
      <w:r>
        <w:t>24. In the market including hypermarkets located within a 30-minute drive from the target store in Barbezieux, the operation does not result in any overlap of activities between the parties as no other ITM hypermarket is present.</w:t>
      </w:r>
    </w:p>
    <w:p>
      <w:r>
        <w:t>25. In the market including supermarkets and equivalent forms of commerce located within a 15-minute drive from the supermarket in Barbezieux, the store operated by the target (2,812 m²) represents [20-30]% of the sales areas, while the Intermarché in Baignes-Sainte-Radegonde (1,000 m²) represents [5-10]% of the sales areas in the zone. The parties thus hold a cumulative market share of [30-40]%. They face competition from a Leclerc hypermarket (4,660 m² - [40-50]% market share), a Carrefour (860 m² - [5-10]%), a Leader Price (800 m² – [5-10]%), and a Lidl (449 m² - [0-5]%).</w:t>
      </w:r>
    </w:p>
    <w:p>
      <w:r>
        <w:t>26. It follows from these elements that the operation is not likely to harm competition in the two catchment areas defined around the Barbezieux store.</w:t>
      </w:r>
    </w:p>
    <w:p>
      <w:r>
        <w:t>DECIDES</w:t>
      </w:r>
    </w:p>
    <w:p>
      <w:r>
        <w:t>Article unique: The operation notified under number 12-198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