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https://www.autoritedelaconcurrence.fr/fr/decision-de-controle-des-concentrations/relative-la-prise-de-controle-exclusif-par-la-societe-itm-2</w:t>
      </w:r>
    </w:p>
    <w:p>
      <w:r>
        <w:t>Pages translated : 2</w:t>
      </w:r>
    </w:p>
    <w:p/>
    <w:p>
      <w:r>
        <w:rPr>
          <w:b/>
        </w:rPr>
        <w:t>[Pages 1–2]</w:t>
      </w:r>
    </w:p>
    <w:p>
      <w:r>
        <w:t xml:space="preserve">FRENCH REPUBLIC  </w:t>
        <w:br/>
        <w:t xml:space="preserve">Decision No. 15-DCC-68 of June 8, 2015  </w:t>
        <w:br/>
        <w:t xml:space="preserve">regarding the exclusive control acquisition by the company ITM Alimentaire Centre Ouest of the company Dica  </w:t>
        <w:br/>
        <w:t xml:space="preserve">The Competition Authority,  </w:t>
        <w:br/>
        <w:t xml:space="preserve">Having regard to the complete notification file submitted to the mergers department on April 28, 2015, concerning the exclusive control acquisition by the company ITM Alimentaire Centre Ouest of the company Dica, and formalized by a transfer protocol dated March 24, 2015;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Dica, operating a food-dominant retail outlet under the Intermarché brand in the city of Buzançais (36), by ITM Alimentaire Centre Ouest. This operation constitutes a concentration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15-066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