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https://www.autoritedelaconcurrence.fr/fr/decision-de-controle-des-concentrations/relative-la-prise-de-controle-exclusif-par-la-societe-itm-5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16-DCC-67 of May 10, 2016  </w:t>
        <w:br/>
        <w:t xml:space="preserve">regarding the exclusive control acquisition by the company ITM Centre Ouest  </w:t>
        <w:br/>
        <w:t xml:space="preserve">of the company Reverderie  </w:t>
        <w:br/>
        <w:t xml:space="preserve">The Competition Authority,  </w:t>
        <w:br/>
        <w:t xml:space="preserve">Having regard to the complete notification file sent to the mergers department on April 5, 2016,  </w:t>
        <w:br/>
        <w:t xml:space="preserve">concerning the exclusive control acquisition of the company Reverderie by the company ITM Centre Ouest,  </w:t>
        <w:br/>
        <w:t xml:space="preserve">materialized by an option exercise letter dated September 23,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ITM Centre Ouest of exclusive control of the  </w:t>
        <w:br/>
        <w:t xml:space="preserve">company Reverderie, which operates a retail outlet under the Intermarché brand in the city  </w:t>
        <w:br/>
        <w:t xml:space="preserve">of Terrasson-Lavilledieu (24). This operation constitutes a concentration operation within  </w:t>
        <w:br/>
        <w:t xml:space="preserve">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control thresholds related to retail trade mentioned in  </w:t>
        <w:br/>
        <w:t xml:space="preserve">point II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16-059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