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https://www.autoritedelaconcurrence.fr/fr/decision-de-controle-des-concentrations/relative-la-prise-de-controle-exclusif-par-la-societe-itm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12-DCC-145 of October 2, 2012  </w:t>
        <w:br/>
        <w:t xml:space="preserve">regarding the exclusive control acquisition by the company ITM Alimentaire  </w:t>
        <w:br/>
        <w:t xml:space="preserve">Centre-Ouest, a subsidiary of ITM Entreprises, of the company Les Romains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September 11, 2012, concerning the exclusive control acquisition of the company Les Romains by the  </w:t>
        <w:br/>
        <w:t xml:space="preserve">company ITM Alimentaire Centre-Ouest materialized by a unilateral purchase promise dated May 12,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Les Romains, which  </w:t>
        <w:br/>
        <w:t xml:space="preserve">operates a retail business predominantly in food under the brand Intermarché with a surface area of 2,382 m² in Trélissac (24), by the company ITM Alimentaire  </w:t>
        <w:br/>
        <w:t xml:space="preserve">Centre-Ouest, a subsidiary of ITM Entreprises, and constitutes a concentration operation within the meaning  </w:t>
        <w:br/>
        <w:t xml:space="preserve">of 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related to retail trade mentioned in 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12-150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