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https://www.autoritedelaconcurrence.fr/fr/decision-de-controle-des-concentrations/relative-la-prise-de-controle-exclusif-par-la-societe-its</w:t>
      </w:r>
    </w:p>
    <w:p>
      <w:r>
        <w:t>Pages translated : 4</w:t>
      </w:r>
    </w:p>
    <w:p/>
    <w:p>
      <w:r>
        <w:rPr>
          <w:b/>
        </w:rPr>
        <w:t>[Pages 1–3]</w:t>
      </w:r>
    </w:p>
    <w:p>
      <w:r>
        <w:t xml:space="preserve">FRENCH REPUBLIC  </w:t>
        <w:br/>
        <w:t xml:space="preserve">Decision No. 14-DCC-17 of February 13, 2014  </w:t>
        <w:br/>
        <w:t>regarding the exclusive control by ITS Group of certain assets of the companies Overlap Group, Overlap, and Exterinfo</w:t>
      </w:r>
    </w:p>
    <w:p>
      <w:r>
        <w:t xml:space="preserve">The Competition Authority,  </w:t>
        <w:br/>
        <w:t xml:space="preserve">Having regard to the notification file sent to the merger service on October 1, 2013, declared complete on February 6, 2014, regarding the exclusive control by ITS Group of certain assets of the companies Overlap Group, Overlap, and Exterinfo, formalized by a takeover offer dated September 16 and 27, 2013, and a judgment of the Commercial Court of Nanterre dated October 10, 2013;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ITS Group is a public limited company controlled by Mr. Jean-Michel Bernard, specialized in the development, management, and implementation of IT infrastructures and new technologies for information services intended for businesses. It also offers, through its subsidiaries (collectively referred to as "ITS Group"), outsourcing services, hosting systems, IT consulting, and services related to business mobility.  </w:t>
        <w:br/>
        <w:t xml:space="preserve">2. Overlap Group is the holding company of the Overlap group ("Overlap"), which offers, through its subsidiaries Overlap and Exterinfo, IT engineering services (SSII), including consulting, architecture design, integration, and deployment of IT infrastructures. Overlap also provides technical support services, security, maintenance of IT systems, outsourcing, and cloud computing services.  </w:t>
        <w:br/>
        <w:t xml:space="preserve">3. By judgments dated June 11, 2013, the Commercial Court of Nanterre opened three judicial recovery procedures for the benefit of Overlap Group, Overlap, and Exterinfo. A recovery procedure by way of transfer was initiated. On September 16 and 27, 2013, ITS Group presented and then specified an offer to acquire most of the assets of the companies Overlap Group, Overlap, and Exterinfo. On October 10, 2013, the Commercial Court of Nanterre approved a transfer plan for the companies Overlap Group, Overlap, and Exterinfo in favor of ITS Group.  </w:t>
        <w:br/>
        <w:t xml:space="preserve">4. As it results in the exclusive control of certain assets of the companies Overlap Group, Overlap, and Exterinfo by ITS Group, the operation constitutes a concentration within the meaning of Article L. 430-1 of the Commercial Code.  </w:t>
        <w:br/>
        <w:t>5. The companies concerned achieved a combined consolidated turnover excluding taxes on a global scale of more than 150 million euros (ITS Group: [...] euros for the fiscal year ending December 31, 2012; target assets: [...] euros for the fiscal year ending March 31, 2013). Each of these companies achieved, in France, a turnover exceeding 50 million euros (ITS Group: [...] euros for the fiscal year ending December 31, 2012; target assets: [...] euros for the fiscal year ending March 31, 2013). Given the turnover of the companies concerned, it does not have a community dimension. However, the control thresholds mentioned in Article L. 430-2-I of the Commercial Code are exceeded. The present operation is therefore subject to the provisions of Articles L. 430-3 and following of the Commercial Code.</w:t>
      </w:r>
    </w:p>
    <w:p>
      <w:r>
        <w:t xml:space="preserve">II. Definition of the relevant markets  </w:t>
        <w:br/>
        <w:t xml:space="preserve">6. The parties are simultaneously present in the IT services sector. The competition authorities, both French1 and community2, have already had the opportunity to rule on the definition of the relevant markets in this sector, while leaving the question open.  </w:t>
        <w:br/>
        <w:t xml:space="preserve">7. They have thus identified, within the IT services market, seven functional categories of services: (i) global management services, (ii) business management services, (iii) software development and integration, (iv) consulting, (v) software maintenance and logistical support, (vi) maintenance of IT hardware and logistical support, and (vii) education and training. However, it has not been excluded that these seven categories of services could be considered as belonging to a global market for IT services insofar as clients generally seek a service that integrates all the activities described above and there is a high degree of substitutability on the supply side3.  </w:t>
        <w:br/>
        <w:t xml:space="preserve">8. Within global management services, national decision-making practice4 has considered distinguishing scalable leasing.  </w:t>
        <w:br/>
        <w:t xml:space="preserve">1 See for example, the decisions of the Competition Authority No. 09-DCC-93 of December 31, 2009, No. 11-DCC-20 of February 7, 2011, and No. 11-DCC-139 of September 20, 2011.  </w:t>
        <w:br/>
        <w:t xml:space="preserve">2 Decisions of the European Commission M. 2365 of April 4, 2001, No. 2609 of January 31, 2002, M. 3555 of September 9, 2004, M. 3571 of November 18, 2004, M. 5197 of July 25, 2008, and M. 5301 of October 13, 2008.  </w:t>
        <w:br/>
        <w:t xml:space="preserve">3 See for example the letter from the Minister of Economy C2006-132 of December 19, 2006, to the board of France Télécom, regarding a concentration in the software development sector and the decision of the Competition Authority 11-DCC-139 mentioned above.  </w:t>
        <w:br/>
        <w:t>4 Letter from the Minister of Economy of December 13, 2002, to the board of Econocom, regarding a concentration in the IT consulting sector (leasing and financing service) and decision of the Competition Authority No. 11-DCC-139 mentioned above.</w:t>
      </w:r>
    </w:p>
    <w:p>
      <w:r>
        <w:t xml:space="preserve">9. Different alternative or complementary segmentations have also been considered according to:  </w:t>
        <w:br/>
        <w:t xml:space="preserve">- the type of clientele: SMEs-SMIs or large accounts;  </w:t>
        <w:br/>
        <w:t xml:space="preserve">- the types of information and communication systems: (i) management application systems, which include IT services used to fulfill a horizontal function within companies or administrations; (ii) embedded industrial technical scientific application systems; (iii) generic application systems; (iv) IT infrastructure systems; and (v) communication and enterprise network infrastructure systems.  </w:t>
        <w:br/>
        <w:t xml:space="preserve">- the sector of activity, namely: (i) communications, (ii) education, (iii) energy and local networks, (iv) financial services, (v) the public sector, (vi) health, (vii) industry, (viii) commerce and distribution, (ix) services, and (x) transport.  </w:t>
        <w:br/>
        <w:t xml:space="preserve">10. There is no need to challenge these segmentations in the present decision.  </w:t>
        <w:br/>
        <w:t xml:space="preserve">11. The activities of the parties overlap in four of the seven functional categories defined above: the segments of global management, business management, software development and integration, and consulting.  </w:t>
        <w:br/>
        <w:t>12. Furthermore, the parties are simultaneously active in the large accounts segment and, more marginally, in the SMEs-SMIs segment. Their activities overlap in four of the five types of information and communication systems: management application systems, generic application systems, IT infrastructure systems, and communication and enterprise network infrastructure systems. Finally, they are simultaneously active in the sectors of communications, energy and local networks, financial services, the public sector, health, industry, commerce and distribution, and services.</w:t>
      </w:r>
    </w:p>
    <w:p>
      <w:r>
        <w:t xml:space="preserve">III. Competitive analysis  </w:t>
        <w:br/>
        <w:t xml:space="preserve">13. Across all IT services markets, the combined market shares of the parties are low, regardless of the segmentation retained.  </w:t>
        <w:br/>
        <w:t xml:space="preserve">14. In the overall IT services market5, the combined market share of the parties is less than 1%. The combined market shares of the parties in the market segments by category of services are also less than 1%. When considering a segmentation of the IT services market by sector of activity, the combined market shares of the parties range from 0.2% to 1.2%.  </w:t>
        <w:br/>
        <w:t xml:space="preserve">15. The notifying party indicates that it is unable to estimate the market share of the parties in the segmented IT services markets by type of clientele and by type of information and communication systems. However, given the low market shares of  </w:t>
        <w:br/>
        <w:t>5 The notifying party indicates that the parties provide, as part of their service activity, IT equipment to their clients. It specifies that this activity does not constitute a distinct activity from the provision of IT services, as the supply of IT products is always integrated into the main provision of IT services. In any case, the overlap of the parties' activities concerning the supply of IT products is very limited, as it represents only 1% of the consolidated turnover of the ITS Group, or less than one million euros.</w:t>
      </w:r>
    </w:p>
    <w:p>
      <w:r>
        <w:rPr>
          <w:b/>
        </w:rPr>
        <w:t>[Pages 4–4]</w:t>
      </w:r>
    </w:p>
    <w:p>
      <w:r>
        <w:t>market of the parties and the high atomization of the market, the operation is not likely to strengthen the market power of the parties.</w:t>
      </w:r>
    </w:p>
    <w:p>
      <w:r>
        <w:t>16. The operation is therefore not likely to harm competition in the market for IT services.</w:t>
      </w:r>
    </w:p>
    <w:p>
      <w:r>
        <w:t>DECIDES</w:t>
      </w:r>
    </w:p>
    <w:p>
      <w:r>
        <w:t>Sole Article: The operation notified under number 13-172 is authorized.</w:t>
      </w:r>
    </w:p>
    <w:p>
      <w:r>
        <w:t>The President,</w:t>
        <w:br/>
        <w:t>Bruno Lasserre</w:t>
        <w:br/>
        <w:t>© Competition Authority</w:t>
      </w:r>
    </w:p>
    <w:p>
      <w:r>
        <w:t>The notifying party indicates that the 20 largest companies in the IT services market represented less than 30% of the French market in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