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https://www.autoritedelaconcurrence.fr/fr/decision-de-controle-des-concentrations/relative-la-prise-de-controle-exclusif-par-la-societe-kkr</w:t>
      </w:r>
    </w:p>
    <w:p>
      <w:r>
        <w:t>Pages translated : 5</w:t>
      </w:r>
    </w:p>
    <w:p/>
    <w:p>
      <w:r>
        <w:rPr>
          <w:b/>
        </w:rPr>
        <w:t>[Pages 1–3]</w:t>
      </w:r>
    </w:p>
    <w:p>
      <w:r>
        <w:t xml:space="preserve">FRENCH REPUBLIC  </w:t>
        <w:br/>
        <w:t xml:space="preserve">Decision No. 12-DCC-133 of September 7, 2012  </w:t>
        <w:br/>
        <w:t xml:space="preserve">regarding the exclusive control by KKR &amp; Co LP of  </w:t>
        <w:br/>
        <w:t>A2A Coriance and its subsidiaries</w:t>
      </w:r>
    </w:p>
    <w:p>
      <w:r>
        <w:t xml:space="preserve">The Competition Authority,  </w:t>
        <w:br/>
        <w:t xml:space="preserve">Having regard to the notification file submitted in full to the merger service on August 3, 2012,  </w:t>
        <w:br/>
        <w:t xml:space="preserve">regarding the acquisition of A2A Coriance and its subsidiaries (hereinafter "Coriance") by KKR &amp; Co LP (hereinafter "KKR"), formalized by a share purchase agreement dated August 2, 2012;  </w:t>
        <w:br/>
        <w:t xml:space="preserve">Having regard to Book IV of the Commercial Code relating to price freedom and competition, and in particular Articles L. 430-1 to L. 430-7;  </w:t>
        <w:br/>
        <w:t xml:space="preserve">Having regard to the supplementary elements submitted by the parties during the investigation;  </w:t>
        <w:br/>
        <w:t>Adopts the following decision:</w:t>
      </w:r>
    </w:p>
    <w:p>
      <w:r>
        <w:t xml:space="preserve">I. The companies concerned and the operation  </w:t>
        <w:br/>
        <w:t xml:space="preserve">1. KKR is a global fund management company that offers a wide range of alternative investment funds and other investment products to investors and provides investment solutions to the company itself, its portfolio of companies, and other clients. The funds managed by KKR make investments in companies active in various sectors. KKR notably controls Sorgenia SpA, which is active in the production and wholesale sale of electricity in France through its subsidiary Sorgenia France (hereinafter "Sorgenia").  </w:t>
        <w:br/>
        <w:t>2. Coriance is a simplified joint-stock company whose share capital is held at […]% by A2A SpA and at […]% by Messrs. X, Y, and Z. Coriance is active in the sector of heat and cold network management, the production and wholesale sale of electricity, and the provision of energy services. It designs, builds, finances, and operates heat networks in France. The networks managed by Coriance are supplied with heat by cogeneration plants, biomass plants, or geothermal plants, on behalf of local authorities that have delegated the management of these facilities to it.</w:t>
      </w:r>
    </w:p>
    <w:p>
      <w:r>
        <w:t xml:space="preserve">3. The notified operation consists of the acquisition by Atom MergeCo SAS, a company created for the purposes of the acquisition and controlled by three investment funds managed by KKR, of the entire capital and voting rights of Coriance. The operation thus results in the exclusive control by KKR of Coriance and constitutes a concentration within the meaning of Article L. 430-1 of the Commercial Code.  </w:t>
        <w:br/>
        <w:t>4. The companies concerned together achieve a total worldwide turnover of more than 150 million euros (KKR: […] euros in 2010; Coriance: […] euros for the fiscal year ending December 31, 2011). Each of these companies achieves a turnover in France exceeding 50 million euros (KKR: […] euros in 2010; Coriance: […] euros for the fiscal year ending December 31, 2011). Given these turnover figures,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5. The parties are simultaneously active in the sector of production and wholesale sale of electricity (A). Furthermore, Coriance provides management and operation services for technical building installations that the electricity production facilities of Sorgenia could potentially benefit from (B). On the other hand, the acquirer has no activities in the sectors of heat and cold network management and the provision of energy services.  </w:t>
        <w:br/>
        <w:t xml:space="preserve">A. THE MARKET FOR THE PRODUCTION AND WHOLESALE SALE OF ELECTRICITY  </w:t>
        <w:br/>
        <w:t xml:space="preserve">1. MARKET FOR SERVICES  </w:t>
        <w:br/>
        <w:t xml:space="preserve">6. Regarding the electricity sector, national and community competition authorities generally distinguish the following product markets, from upstream to downstream: (i) production and wholesale sale, (ii) trading, (iii) transportation, (iv) distribution, (v) retail supply of electricity. Given the activities of the parties to the operation, the only market concerned in this case is that of the production and wholesale sale of electricity.  </w:t>
        <w:br/>
        <w:t xml:space="preserve">1 See notably the letter from the Minister of Economy, Industry and Employment dated July 2, 2008, to the advisors of A2A, C2008-42, regarding a concentration in the sectors of electricity production, urban heat and cold networks, and heat production and supply, the decisions of the Competition Authority No. 09-DCC-28 regarding the exclusive control of POWEO by Österreichische Elektrizitätswirtschafts-Aktiengesellschaft and No. 11-DCC-140 of September 23, 2011, regarding the exclusive control by Cube Energy SCA of Idex groupe SAS.  </w:t>
        <w:br/>
        <w:t>2 See the decisions of the European Commission No. COMP/M.5224 – EDF/British Energy of December 22, 2008; and No. COMP/M.5170 – E.On/Endesa Europa/Viesgo of June 19, 2008.</w:t>
      </w:r>
    </w:p>
    <w:p>
      <w:r>
        <w:t xml:space="preserve">7. The market for the production and wholesale sale of electricity includes, on the supply side, not only electricity produced, notably by power plants, but also electricity imports into France via interconnections. Producers and importers sell electricity wholesale to operators supplying end consumers, to traders, or to large industrial clients.  </w:t>
        <w:br/>
        <w:t xml:space="preserve">2. GEOGRAPHIC MARKET  </w:t>
        <w:br/>
        <w:t xml:space="preserve">8. Decision-making practice considers that the markets for the production and wholesale sale of electricity are national in scope, notably due to the diversity of regulatory systems in force. There is no reason to challenge this delimitation on the occasion of the present operation.  </w:t>
        <w:br/>
        <w:t xml:space="preserve">B. THE MARKET FOR THE MANAGEMENT AND OPERATION OF TECHNICAL BUILDING INSTALLATIONS  </w:t>
        <w:br/>
        <w:t xml:space="preserve">1. MARKET FOR SERVICES  </w:t>
        <w:br/>
        <w:t xml:space="preserve">9. Previous national and community decision-making practice has considered that the market for the operation and management of technical building installations includes activities such as maintenance and technical management of buildings, site management, maintenance of heating and air conditioning installations, management of public lighting or large surfaces. The decision-making practice has left open the question of whether this market could include certain services to the occupants of the buildings.  </w:t>
        <w:br/>
        <w:t xml:space="preserve">10. Some decisions have identified a distinct market for the technical and administrative management of real estate complexes. This market encompasses the management and provision of various services to the occupants and buildings of a business site. The practice has left open the possibility of segmenting this activity based on the type of services offered (services to buildings, services to people, management) as well as, concerning certain isolated services, based on the client's activity. However, the precise delimitation of the market can be left open, as the conclusions of the competitive analysis will remain unchanged regardless of the definition adopted.  </w:t>
        <w:br/>
        <w:t xml:space="preserve">3 See the decisions of the European Commission No. COMP/M.4180 Gaz de France/Suez of November 14, 2006, COMP/M.4994 Electrabel/Compagnie du Rhône of April 29, 2008; as well as the aforementioned letter from the Minister of Economy and the decisions of the Competition Authority No. 09-DCC-28 and No. 11-DCC-140 mentioned above.  </w:t>
        <w:br/>
        <w:t xml:space="preserve">4 See the decision of the Competition Authority No. 09-DCC-028 mentioned above.  </w:t>
        <w:br/>
        <w:t xml:space="preserve">5 See notably the decisions of the Commission No. COMP/M.4180, No. COMP/M.4994 mentioned above as well as the decisions of the Competition Authority No. 09-DCC-28 and No. 11-DCC-140 mentioned above.  </w:t>
        <w:br/>
        <w:t xml:space="preserve">6 See notably the decisions of the European Commission of June 5, 1997, No. IV/M.916, Lyonnaise des Eaux/Suez, and February 7, 2000, No. IV/M.1803, Electrabel/EPON, as well as Opinion No. 00-A-03 of February 22, 2000, of the Competition Council regarding the acquisition of Clemessy by the EDF, Cogema, and Siemens groups, the letter from the Minister of Economy, Finance, and Employment dated February 20, 2008, to the advisors of IDEX Energies, regarding a concentration in the sector of management and operation of technical building installations and climate engineering, and the decision of the Competition Authority No. 11-DCC-34 of February 25, 2011, regarding the acquisition of exclusive control of Ne Varietur by GDF Suez.  </w:t>
        <w:br/>
        <w:t>7 See notably decision No. 09-DCC-33 of July 30, 2009, regarding the exclusive control of Veolia Propreté Nettoyage et Multiservices by TFN Développement, decision No. 09-DCC-19 of July 20, 2009, regarding the exclusive control of Icade Eurogem by La Financière Groupe TFN, decision No. 10-DCC-75 of July 6, 2010, regarding the joint control of Ceritex by the Faceo and Sofinord groups, decision No. 10-DCC-82 of July 28, 2010, regarding the exclusive control of the Faceo group by VINCI Energies (VINCI group), and decisions No. 11-DCC-34 and No. 11-DCC-140 mentioned above.</w:t>
      </w:r>
    </w:p>
    <w:p>
      <w:r>
        <w:rPr>
          <w:b/>
        </w:rPr>
        <w:t>[Pages 4–5]</w:t>
      </w:r>
    </w:p>
    <w:p>
      <w:r>
        <w:t xml:space="preserve">2. GEOGRAPHIC MARKET  </w:t>
        <w:br/>
        <w:t xml:space="preserve">11. Community decision-making practice has considered that the market for the operation and management of technical building installations had a national dimension. However, subsequent national practice has noted a certain local dimension of the market when relatively medium-sized actors were involved, contracts of a fairly limited amount, clients of various sizes, and works of different natures (either major maintenance works planned over several years or repair works requiring rapid intervention and consequently a certain geographical proximity). It has nevertheless left open the precise delimitation of the market. The same may apply in the present case, insofar as, regardless of the definition retained, the conclusions of the competitive analysis will remain unchanged.  </w:t>
        <w:br/>
        <w:t xml:space="preserve">12. Regarding the geographic delimitation of the market for the technical and administrative management of real estate complexes, prior national decision-making practice has considered that this market had a national dimension. Indeed, the contracts concern services that are often multi-site, and the main operators active in this market have a national network of agencies and operational relays covering the entire territory.  </w:t>
        <w:br/>
        <w:t xml:space="preserve">III. Competitive Analysis  </w:t>
        <w:br/>
        <w:t xml:space="preserve">13. KKR, through Sorgenia, and Coriance produce and sell electricity wholesale in France. Sorgenia operates wind farms in France at Saint Crépin (6 wind turbines), Bernay-Saint-Martin (8 wind turbines), Côtes-de-Champagne (23 wind turbines), Argonne (19 wind turbines), Voie Sacrée (27 wind turbines), and Widehem (6 wind turbines). In addition, three wind farms are currently under construction, and Sorgenia also has 6 ongoing development projects. Sorgenia sells its electricity production to EDF, which has a purchase obligation at a price indexed to inflation for a period of 15 years after the start of commercial operations. For its part, Coriance produces electricity through its cogeneration plants. The combined production of the parties in 2011 amounted to […] GWh.  </w:t>
        <w:br/>
        <w:t xml:space="preserve">14. In the French market for the production and wholesale sale of electricity, the combined market share by volume of Sorgenia and Coriance is less than [0-5]%. This market is primarily occupied by large groups such as EDF and GDF Suez, which, according to the notifying party's estimates, represent 87% and 6% of the French market, respectively. The operation is therefore not likely to harm competition in the French market for the production and wholesale sale of electricity through horizontal effects.  </w:t>
        <w:br/>
        <w:t xml:space="preserve">15. Furthermore, Coriance is also active in the market for the operation and management of technical building installations, which may present vertical links with the market for the production and wholesale sale of electricity. However, Sorgenia exclusively operates wind farms, while the energy services provided by Coriance are exclusively on heating and air conditioning equipment. Coriance is therefore not a potential customer of Sorgenia.  </w:t>
        <w:br/>
        <w:t>16. The operation is therefore not likely to harm competition in the French market for the operation and management of technical building installations through vertical effects.</w:t>
      </w:r>
    </w:p>
    <w:p>
      <w:r>
        <w:t xml:space="preserve">DECIDES  </w:t>
        <w:br/>
        <w:t xml:space="preserve">Sole Article: The operation notified under number 12-132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