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https://www.autoritedelaconcurrence.fr/fr/decision-de-controle-des-concentrations/relative-la-prise-de-controle-exclusif-par-la-societe-lfpi</w:t>
      </w:r>
    </w:p>
    <w:p>
      <w:r>
        <w:t>Pages translated : 5</w:t>
      </w:r>
    </w:p>
    <w:p/>
    <w:p>
      <w:r>
        <w:rPr>
          <w:b/>
        </w:rPr>
        <w:t>[Pages 1–3]</w:t>
      </w:r>
    </w:p>
    <w:p>
      <w:r>
        <w:t xml:space="preserve">FRENCH REPUBLIC  </w:t>
        <w:br/>
        <w:t xml:space="preserve">Decision No. 12-DCC-127 of August 31, 2012  </w:t>
        <w:br/>
        <w:t xml:space="preserve">regarding the exclusive control by the company LFPI  </w:t>
        <w:br/>
        <w:t>of the company Foncière LFPI</w:t>
      </w:r>
    </w:p>
    <w:p>
      <w:r>
        <w:t xml:space="preserve">The Competition Authority,  </w:t>
        <w:br/>
        <w:t xml:space="preserve">Having regard to the notification file submitted in full to the concentrations service on July 27, 2012, regarding the exclusive control by the company Foncière LFPI of the company LFPI, formalized by the minutes of the extraordinary general meeting of the shareholders of the company Foncière LFPI approving the transaction;  </w:t>
        <w:br/>
        <w:t xml:space="preserve">Having regard to Book IV of the Commercial Code relating to the freedom of prices and competition, and in particular its Articles L. 430-1 to L. 430-7;  </w:t>
        <w:br/>
        <w:t>Adopts the following decision:</w:t>
      </w:r>
    </w:p>
    <w:p>
      <w:r>
        <w:t xml:space="preserve">I. The concerned companies and the transaction  </w:t>
        <w:br/>
        <w:t xml:space="preserve">1. The Financière Patrimoniale d’Investissement (hereinafter "LFPI") is a simplified joint-stock company at the head of a group of companies whose purpose is to take stakes in new or existing companies, directly or indirectly, through risk mutual funds and/or venture capital companies whose controlled companies manage. The capital of LFPI is distributed among institutional investors and private investors, none of whom holds control. It holds controlling stakes in companies active in numerous sectors, notably in the hotel industry through the companies Time Hotels and Lumhotel, which manage hotel parks in the Paris region and in the provinces.  </w:t>
        <w:br/>
        <w:t>2. The company FLE, controlled by LFPI of which it is a subsidiary at […] %, is a specialized investment fund organized as an investment company with variable capital in the form of a Luxembourg law partnership limited by shares. FLE constitutes the real estate investment platform of the LFPI group in Germany and Austria. It does not control any assets located in France.</w:t>
      </w:r>
    </w:p>
    <w:p>
      <w:r>
        <w:t xml:space="preserve">3. The company Foncière LFPI (hereinafter "Foncière LFPI") is a simplified joint-stock company whose purpose, in France and abroad, directly or indirectly, is the holding and management of real estate assets. In France, it holds real estate assets primarily consisting of offices (73%) and, to a lesser extent, commercial premises (11%), hotels (8%), and warehouses (8%).  </w:t>
        <w:br/>
        <w:t xml:space="preserve">4. In accordance with the share subscription forms sent to the current shareholders of Foncière LFPI and as reflected in the minutes of the extraordinary general meeting of the shareholders of the company Foncière LFPI approving the transaction, the present transaction must be carried out through a contribution by almost all the shareholders of Foncière LFPI of their shares to FLE. Insofar as it results in the exclusive control of the company Foncière LFPI by LFPI, via FLE, the transaction constitutes a concentration within the meaning of Article L.430-1 of the Commercial Code.  </w:t>
        <w:br/>
        <w:t>5. The concerned companies together achieved a consolidated turnover excluding taxes worldwide of more than 150 million euros in the last closed financial year (LFPI: […] euros for the 2011 financial year; Foncière LFPI: […] euros for the same financial year). Each of these companies achieved, in France, a turnover exceeding 50 million euros (LFPI: […] euros for the 2011 financial year; Foncière LFPI: […] euros for the same financial year). Given these turnover figures, the transaction does not have a community dimension. On the other hand, the control thresholds mentioned in I of Article L. 430-2 of the Commercial Code are exceeded. This transaction is therefore subject to the provisions of Articles L. 430-3 and following of the Commercial Code relating to economic concentration.</w:t>
      </w:r>
    </w:p>
    <w:p>
      <w:r>
        <w:t xml:space="preserve">II. Delimitation of the relevant markets  </w:t>
        <w:br/>
        <w:t xml:space="preserve">6. The present transaction does not lead to any horizontal overlap of activity insofar as the LFPI group is not present in the market for holding real estate assets in which Foncière LFPI is present. However, since LFPI controls companies that are engaged in hotel management and Foncière LFPI holds hotel properties, an analysis of the vertical effects of the transaction will be conducted.  </w:t>
        <w:br/>
        <w:t xml:space="preserve">A. THE RELEVANT SERVICE MARKETS  </w:t>
        <w:br/>
        <w:t xml:space="preserve">1. THE REAL ESTATE SERVICES SECTOR  </w:t>
        <w:br/>
        <w:t xml:space="preserve">7. Decision-making practice has considered, while leaving the question open, various segmentations in the real estate sector according to (i) the recipients of the services (individuals or businesses), (ii) the pricing method (free residential real estate, social housing, or assisted intermediate housing), (iii) the type of activity carried out in the premises (offices, commercial premises, and other activity premises such as warehouses, hotels), and (iv) the nature of the services or goods offered.  </w:t>
        <w:br/>
        <w:t xml:space="preserve">8. For this last segmentation axis, the following distinctions were considered:  </w:t>
        <w:br/>
        <w:t xml:space="preserve">- real estate development which includes the activities of construction and sale of real estate;  </w:t>
        <w:br/>
        <w:t xml:space="preserve">- real estate asset management for own account;  </w:t>
        <w:br/>
        <w:t xml:space="preserve">- real estate asset management for third parties (institutional investors, mainly banks and insurance companies);  </w:t>
        <w:br/>
        <w:t xml:space="preserve">- property management which covers the activities of managing buildings on behalf of owners and can be segmented between rental management and co-ownership management;  </w:t>
        <w:br/>
        <w:t xml:space="preserve">- real estate appraisal;  </w:t>
        <w:br/>
        <w:t xml:space="preserve">- real estate advisory;  </w:t>
        <w:br/>
        <w:t xml:space="preserve">- intermediation in real estate transactions for which intermediation in purchase/sale operations is distinguished from intermediation in rental operations.  </w:t>
        <w:br/>
        <w:t>9. The question of the exact delimitation of the markets in the real estate sector can, however, be left open insofar as the conclusions of the analysis would remain unchanged regardless of the solutions adopted.</w:t>
      </w:r>
    </w:p>
    <w:p>
      <w:r>
        <w:t xml:space="preserve">2. THE HOTEL SECTOR  </w:t>
        <w:br/>
        <w:t xml:space="preserve">10. In the hotel sector, decision-making practice has considered several segmentations based on price and degree of comfort, based on the classification or number of stars of the establishments.  </w:t>
        <w:br/>
        <w:t xml:space="preserve">11. The question of the exact delimitation of the markets in the real estate sector will, however, be left open as the conclusions of the competitive analysis would remain unchanged regardless of the solutions adopted.  </w:t>
        <w:br/>
        <w:t xml:space="preserve">B. THE GEOGRAPHICAL MARKETS  </w:t>
        <w:br/>
        <w:t xml:space="preserve">1. THE REAL ESTATE SERVICES SECTOR  </w:t>
        <w:br/>
        <w:t>12. Decision-making practice has considered that the markets relating to the real estate sector are generally of infranational dimension, while leaving the question open. It has</w:t>
      </w:r>
    </w:p>
    <w:p>
      <w:r>
        <w:rPr>
          <w:b/>
        </w:rPr>
        <w:t>[Pages 4–5]</w:t>
      </w:r>
    </w:p>
    <w:p>
      <w:r>
        <w:t>also considered a national delimitation for the markets of real estate services intended for businesses when investment operations are carried out by large investors.</w:t>
      </w:r>
    </w:p>
    <w:p>
      <w:r>
        <w:t>13. Regarding the Île-de-France, decision-making practice has noted that "the Paris region has particular properties of continuity of urban areas. Indeed, there is a vast, highly urbanized, and homogeneous area covering most of the Île-de-France, served by a comprehensive transport network; residents are always able to arbitrate between different parts of the region. This substitutability leads to a convergence in prices. Therefore, the regional level is the most appropriate for competitive analysis."</w:t>
      </w:r>
    </w:p>
    <w:p>
      <w:r>
        <w:t>14. In the present case, the question of the exact delimitation of the geographical markets in the real estate sector will, however, be left open as the conclusions of the competitive analysis would remain unchanged regardless of the solutions adopted.</w:t>
      </w:r>
    </w:p>
    <w:p>
      <w:r>
        <w:t>2. THE HOTEL SECTOR</w:t>
      </w:r>
    </w:p>
    <w:p>
      <w:r>
        <w:t>15. The competition authorities consider that the hotel market can be analyzed both at the national level, particularly for hotel chains, as the competitive conditions are homogeneous across the entire metropolitan territory. It can also be analyzed at the local level, notably because the main selection criterion for the customer is the location of the establishment.</w:t>
      </w:r>
    </w:p>
    <w:p>
      <w:r>
        <w:t>16. The question of the exact delimitation of the geographical markets in the hotel sector can, however, be left open as the conclusions of the competitive analysis would remain unchanged regardless of the delimitation retained.</w:t>
      </w:r>
    </w:p>
    <w:p>
      <w:r>
        <w:t>III. Competitive Analysis</w:t>
      </w:r>
    </w:p>
    <w:p>
      <w:r>
        <w:t>17. In the hotel sector, Foncière LFPI owns 13 hotels in France (including 3 in Île-de-France and 10 in the provinces), of which 11 are already operated by LFPI. For these 11 hotels, the operation does not therefore alter the market structure.</w:t>
      </w:r>
    </w:p>
    <w:p>
      <w:r>
        <w:t>18. The two hotels owned by Foncière LFPI that are not operated by LFPI are located in Vanves (92) and Valentigney (25):</w:t>
        <w:br/>
        <w:t>7 See in particular the decision of the Competition Authority No. 10-DCC-13 of January 29, 2010, regarding the takeover by Icade SA of Compagnie La Lucette SA; the decision of the Competition Authority No. 09-DCC-16 of June 22, 2009, regarding the merger between the Caisse d’Epargne and Banque populaire groups; the letter from the Minister of Economy, Finance and Industry dated November 25, 2005, to the advisors of Foncière des régions, regarding a concentration in the real estate sector; and the decision of the European Commission COMP/M. 2825 of July 9, 2002, Fortis AG SA / Bernheim-Comofi SA.</w:t>
      </w:r>
    </w:p>
    <w:p>
      <w:r>
        <w:t>8 See in particular the decisions of the Competition Authority No. 09-DCC-16 mentioned above and the decision of the Competition Authority No. 10-DCC-112 of September 17, 2010, regarding the joint takeover by Prédica and Altaréa of the company Alta Marigny Carré des Soies.</w:t>
      </w:r>
    </w:p>
    <w:p>
      <w:r>
        <w:t>9 See in particular the decision of the Competition Authority No. 10-DCC-13 mentioned above and the letter from the Minister of Economy, Finance and Industry C2006-151 of January 10, 2007, to the board of the Société nationale immobilière group, regarding a concentration in the sector of development and management of real estate parks primarily intended for residential purposes.</w:t>
      </w:r>
    </w:p>
    <w:p>
      <w:r>
        <w:t>- In the Doubs department (25), LFPI does not operate any hotels and Foncière LFPI owns the premises of one hotel out of the 127 classified hotels in the department, representing a market share of less than 1%.</w:t>
      </w:r>
    </w:p>
    <w:p>
      <w:r>
        <w:t>- In the Hauts-de-Seine department, LFPI operates 5 hotels (located in Nanterre, Boulogne-Billancourt (2), Gennevilliers, and Clichy-la-Garenne) and Foncière LFPI owns the premises of one hotel out of the 171 classified hotels in the department, representing a market share of less than 1%.</w:t>
      </w:r>
    </w:p>
    <w:p>
      <w:r>
        <w:t>19. Consequently, the operation is not likely to harm competition through vertical effects.</w:t>
      </w:r>
    </w:p>
    <w:p>
      <w:r>
        <w:t>DECIDES</w:t>
      </w:r>
    </w:p>
    <w:p>
      <w:r>
        <w:t>Sole Article: The operation notified under number 12-125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