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https://www.autoritedelaconcurrence.fr/fr/decision-de-controle-des-concentrations/relative-la-prise-de-controle-exclusif-par-la-societe-lgdev</w:t>
      </w:r>
    </w:p>
    <w:p>
      <w:r>
        <w:t>Pages translated : 2</w:t>
      </w:r>
    </w:p>
    <w:p/>
    <w:p>
      <w:r>
        <w:rPr>
          <w:b/>
        </w:rPr>
        <w:t>[Pages 1–2]</w:t>
      </w:r>
    </w:p>
    <w:p>
      <w:r>
        <w:t xml:space="preserve">FRENCH REPUBLIC  </w:t>
        <w:br/>
        <w:t xml:space="preserve">Decision No. 22-DCC-222 of November 18, 2022  </w:t>
        <w:br/>
        <w:t xml:space="preserve">regarding the exclusive control acquisition by the company LGDEV of assets from the company SONADIA  </w:t>
        <w:br/>
        <w:t xml:space="preserve">The Competition Authority,  </w:t>
        <w:br/>
        <w:t xml:space="preserve">Having regard to the complete notification file sent to the mergers department on October 31, 2022, concerning the exclusive control acquisition by the company LGDEV of assets from two business units of automobile dealership concessions of the Société Nouvelle Arrageoise de Distribution Automobile ("SONADIA"), formalized by a letter of intent dated August 2,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LGDEV, or any company of its group, of the business unit of automobile dealership concession of the company SONADIA located in the municipality of Arras (62) and of assets from the business unit of automobile dealership concession located in Beaurains (62).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22-254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