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https://www.autoritedelaconcurrence.fr/fr/decision-de-controle-des-concentrations/relative-la-prise-de-controle-exclusif-par-la-societe-maus</w:t>
      </w:r>
    </w:p>
    <w:p>
      <w:r>
        <w:t>Pages translated : 5</w:t>
      </w:r>
    </w:p>
    <w:p/>
    <w:p>
      <w:r>
        <w:rPr>
          <w:b/>
        </w:rPr>
        <w:t>[Pages 1–3]</w:t>
      </w:r>
    </w:p>
    <w:p>
      <w:r>
        <w:t xml:space="preserve">FRENCH REPUBLIC  </w:t>
        <w:br/>
        <w:t xml:space="preserve">Decision No. 12-DCC-179 of December 19, 2012  </w:t>
        <w:br/>
        <w:t xml:space="preserve">regarding the exclusive control by the company Maus Frères of  </w:t>
        <w:br/>
        <w:t>the companies Lacoste SA and Patentex</w:t>
      </w:r>
    </w:p>
    <w:p>
      <w:r>
        <w:t xml:space="preserve">The Competition Authority,  </w:t>
        <w:br/>
        <w:t xml:space="preserve">Having regard to the notification file submitted in full to the merger service on November 15, 2012, concerning the acquisition of the companies Lacoste SA and Patentex by the company Maus Frères, formalized by a share purchase agreement dated October 26, 2012, and an acceptance of the purchase offer dated November 14, 2012;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Maus Frères is a company under Swiss law, controlled by the Maus and Nordman families. Its main activity is holding stakes in companies specialized in food and non-food sectors, notably clothing and leisure accessory brands, Aigle and Gant, as well as the company Devanlay, which holds the global and exclusive license for the creation, manufacture, and distribution of Lacoste clothing and leather goods.  </w:t>
        <w:br/>
        <w:t xml:space="preserve">2. The company Lacoste SA (hereinafter "LSA"), owned by members of the Lacoste family at 64.1% and the company Devanlay at 34.52%, holds the exploitation rights of the Lacoste brand for Europe (except Spain for clothing and shoes), Asia, Africa, and Oceania. The Swiss company Sportloisirs, a 100% subsidiary of LSA, holds the exploitation rights of the Lacoste brand for Latin America and Spain (for clothing and shoes).  </w:t>
        <w:br/>
        <w:t xml:space="preserve">3. Patentex is a holding company wholly owned by the Lacoste family, whose sole activity is holding 52.2% of the capital of the Swiss company Lacoste Alligator, which holds the exploitation rights of the Lacoste brand for the United States and Canada as well as for the various Caribbean islands. The remaining capital of Lacoste Alligator is held by the companies Devanlay (28.11%) and Sportloisirs (19.69%).  </w:t>
        <w:br/>
        <w:t xml:space="preserve">4. Following the transaction, Maus Frères will hold at least 98.4% of the capital and voting rights of LSA and 100% of Patentex pursuant to a share purchase agreement dated October 26, 2012, concluded between Maus Frères and some members of the Lacoste family, and the acceptance on November 14, 2012, by the other members of the Lacoste family, of the offer to purchase their shares from Maus Frères. The residual share of LSA's capital will be held by certain employee executives and some members of the Lacoste family, without this participation granting them rights exceeding those usually granted to minority shareholders.  </w:t>
        <w:br/>
        <w:t xml:space="preserve">5. The acquisition of LSA and Patentex constitutes a unique concentration operation in that the sellers and the buyer are the same and to the extent that these two transfers will occur simultaneously once the suspensive conditions are lifted.  </w:t>
        <w:br/>
        <w:t xml:space="preserve">6. Insofar as it results in the exclusive control of the companies LSA and Patentex by the company Maus Frères, the operation constitutes a concentration operation within the meaning of Article L. 430-1 of the Commercial Code.  </w:t>
        <w:br/>
        <w:t>7. The concerned companies together achieve a total worldwide turnover of more than 150 million euros (Maus Frères: […] euros for 2011; LSA and Patentex: 125.6 million euros). At least two of these companies achieve a turnover in France exceeding 50 million euros (Maus Frères: 400 million euros; LSA and Patentex: 95.5 million euros).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8. The Maus Frères group is present in the markets for the manufacture and marketing of ready-to-wear clothing, shoes, and fashion accessories (leather goods, glasses, watches, etc.). On the one hand, it holds, through the company Devanlay, the global and exclusive license agreements for the creation, manufacture, and distribution of clothing and leather goods under the Lacoste brand. On the other hand, it manufactures and distributes clothing, shoes, and accessories under the Aigle and Gant brands, which it owns.  </w:t>
        <w:br/>
        <w:t xml:space="preserve">9. The notifying party argues that the companies LSA and Patentex, whose sole activity is managing the portfolio of Lacoste brands for licensing to third-party operators, excluding any production or marketing activity, do not lead to any horizontal or vertical overlap with the activities of the Maus Frères group.  </w:t>
        <w:br/>
        <w:t xml:space="preserve">10. In particular, it considers that the holding of trademarks and their exploitation in the form of licenses cannot give rise to the definition of a relevant market. It specifies that even if there may be a few rare exceptions, the granting of a license by the holder of a trademark generally concerns only part of the activity related to that trademark and is accompanied by a commercial exploitation of the trademark itself by the company that holds it, and that, moreover, there is not a priori an operator whose activity is the granting of licenses on trademarks that it would acquire to constitute a catalog offered to potential applicants.  </w:t>
        <w:br/>
        <w:t xml:space="preserve">11. However, the exploitation of a trademark through the granting of trademark licenses is an economic activity that necessarily takes place in a market and is linked to the activity of manufacturing and distributing clothing and leather goods under trademark license carried out by the Maus Frères group. Generally, as the notifying party argues, the holder of a trademark exploits it themselves and only partially licenses the use of the trademark. Nevertheless, it is a distinct activity from that of manufacturing and marketing the products concerned, which meets a specific demand, and is a priori upstream of it, the trademark constituting one of the inputs of this activity.  </w:t>
        <w:br/>
        <w:t xml:space="preserve">12. While such markets for the commercialization of intellectual property rights have so far been mainly identified in cultural sectors1, in which certain providers constitute catalogs of rights, it is nevertheless possible to consider that the commercialization of intellectual property rights concerning trademarks constitutes relevant markets in other sectors, such as ready-to-wear and fashion accessories, and that a provider may only commercialize a single brand. Regarding the geographical delimitation of these markets, the case at hand shows that the exploitation rights of these brands are marketed at a global level.  </w:t>
        <w:br/>
        <w:t xml:space="preserve">13. The question of the precise definition of these markets, particularly depending on the type of products, may nevertheless be left open, as it does not affect the conclusions of the competitive analysis.  </w:t>
        <w:br/>
        <w:t xml:space="preserve">14. Regarding the markets for the commercialization of clothing, shoes, and accessories, decision-making practice2 distinguishes an upstream market for supply and a downstream market for retail sales. In this case, Maus Frères is present in the supply markets as a buyer and in the downstream retail sales markets.  </w:t>
        <w:br/>
        <w:t xml:space="preserve">15. Concerning the retail sale of clothing and shoes, decision-making practice makes a distinction (i) by gender3 (men, women, children) (ii) by distribution channel4 (specialized store, hypermarket, supermarket) and (iii) by range5 (low, medium, high-end). Furthermore, decision-making practice6 has considered a distinction between in-store sales and distance sales, all distance sales channels combined.  </w:t>
        <w:br/>
        <w:t xml:space="preserve">16. Regarding the retail distribution of watchmaking, jewelry, and goldsmithing products (excluding luxury products), decision-making practice7 retains the same segmentation as  </w:t>
        <w:br/>
        <w:t xml:space="preserve">1 See, for example, COMP/M.3333 – SONY/BMG of July 19, 2004, concerning licenses intended for online music.  </w:t>
        <w:br/>
        <w:t xml:space="preserve">2 See, for example, Letter from the Minister of Economy, Industry and Employment C2008-16 of April 30, 2008, to the advisors of the company Vivarte, regarding a concentration in the sports clothing and footwear sector; Letter from the Minister of Economy, Finance and Industry C2007-28 of April 30, 2007, to the advisors of the company Vivarte, regarding a concentration in the clothing sector.  </w:t>
        <w:br/>
        <w:t xml:space="preserve">3 Letter from the Minister of Economy, Finance and Industry C2005-129 to the advisors of the company Glam regarding a concentration in the ready-to-wear sector.  </w:t>
        <w:br/>
        <w:t xml:space="preserve">4 Letter from the Minister of Economy, Finance and Industry of July 24, 2003, to the advisors of the company Vetir SA regarding a concentration in the clothing distribution sector. In this decision, the offer of supermarkets was estimated to be substitutable for that of specialized stores; decisions of the Competition Authority No. 10-DCC-86 of August 4, 2010, regarding the exclusive control of the company Aster-Mod by the company Verywear, No. 10-DCC-159 of November 12, 2010, regarding the control of the company Comptoir Français de la Mode by the company Du Pareil au Même, No. 10-DCC-139 of October 27, 2010, regarding the joint control of Maje, Sandro, Claudie Pierlot, and HF Biousse by L Capital and Florac.  </w:t>
        <w:br/>
        <w:t xml:space="preserve">5 Letter from the Minister of Economy, Finance and Industry of July 24, 2003, cited above.  </w:t>
        <w:br/>
        <w:t xml:space="preserve">6 Decision of the Competition Authority No. 10-DCC-77 of July 9, 2010, regarding the exclusive control of the company Afibel SAS by the company Damartex SA.  </w:t>
        <w:br/>
        <w:t>7 See in particular the decision of the Competition Authority No. 10-DCC-140 cited above.</w:t>
      </w:r>
    </w:p>
    <w:p>
      <w:r>
        <w:rPr>
          <w:b/>
        </w:rPr>
        <w:t>[Pages 4–5]</w:t>
      </w:r>
    </w:p>
    <w:p>
      <w:r>
        <w:t>for wholesale markets between, the markets (i) of small-volume watchmaking, (ii) of precious jewelry, and (iii) of non-precious jewelry, which are distinct from that of costume jewelry. Furthermore, decision-making practice8 has considered the existence of a segmentation of the retail distribution market for small-volume watchmaking products, by price level.</w:t>
      </w:r>
    </w:p>
    <w:p>
      <w:r>
        <w:t>17. Regarding the retail distribution of glasses, decision-making practice9 has identified a segmentation between (i) the market for glasses and eyewear articles for medical use and (ii) the market for glasses and articles for non-medical use.</w:t>
      </w:r>
    </w:p>
    <w:p>
      <w:r>
        <w:t>18. Regarding the retail distribution of leather goods, decision-making practice10 has considered that these products constitute a segment of the market for clothing and ready-to-wear.</w:t>
      </w:r>
    </w:p>
    <w:p>
      <w:r>
        <w:t>19. In any case, the question of the exact delineation of the markets can be left open insofar as the conclusions of the competitive analysis remain unchanged regardless of the segmentation adopted.</w:t>
      </w:r>
    </w:p>
    <w:p>
      <w:r>
        <w:t>20. According to previous decision-making practice, the market for the supply of clothing, shoes, and accessories is of a global size11. Regarding the retail markets for clothing, shoes, and accessories, competition operates at the local level12. However, in the absence of horizontal overlaps in these markets and considering the nature of the operation, only the position of the parties at the national level has been taken into account.</w:t>
      </w:r>
    </w:p>
    <w:p>
      <w:r>
        <w:t>III. Competitive Analysis</w:t>
      </w:r>
    </w:p>
    <w:p>
      <w:r>
        <w:t>21. The acquisition of a trademark by a company that already holds the license for its own activities in the manufacturing and marketing markets is only likely to harm competition through vertical effects in exceptional circumstances.</w:t>
      </w:r>
    </w:p>
    <w:p>
      <w:r>
        <w:t>22. In this case, Maus Frères was already, prior to the operation, the global holder of a license for the exclusive exploitation of the Lacoste brand for clothing, via the company Devanlay, a historical partner of the Lacoste brand since its creation, and under a very long-term contract (1999-2025). Similarly, it had concluded in 2011 a contract for the exclusive exploitation of the brand for leather goods, which expires in 2023.</w:t>
      </w:r>
    </w:p>
    <w:p>
      <w:r>
        <w:t>23. Furthermore, the market shares of the Maus Frères group in the various markets for ready-to-wear clothing at the national level do not exceed 5% across all conceivable segmentations. They are marginal for leather goods. Moreover, the group's purchases represent only a negligible share of the global market for the supply of ready-to-wear clothing.</w:t>
      </w:r>
    </w:p>
    <w:p>
      <w:r>
        <w:t>24. The Lacoste brand is also exploited in other markets (shoes, perfumes, watches, glasses, home textiles, jewelry) through licensing agreements concluded with other companies with expiration dates ranging from 2014 to 2022. While Maus Frères is present in these same markets with its brands Aigle and Gant, its market shares there are very low.</w:t>
      </w:r>
    </w:p>
    <w:p>
      <w:r>
        <w:t>25. In any case, there are many other well-known brands across all these markets, and new brands are constantly emerging. It cannot therefore be considered that the ownership of the Lacoste, Aigle, and Gant brands is likely to allow Maus Frères to lock access to the markets for the manufacturing and marketing of ready-to-wear clothing, shoes, glasses, leather goods, perfumes, watches, or fashion accessories.</w:t>
      </w:r>
    </w:p>
    <w:p>
      <w:r>
        <w:t>26. Consequently, the operation is not likely to harm competition through vertical effects.</w:t>
      </w:r>
    </w:p>
    <w:p>
      <w:r>
        <w:t>DECIDES</w:t>
      </w:r>
    </w:p>
    <w:p>
      <w:r>
        <w:t>Sole Article: The operation notified under number 12-187 is authorized.</w:t>
      </w:r>
    </w:p>
    <w:p>
      <w:r>
        <w:t xml:space="preserve">The Vice-President,  </w:t>
        <w:br/>
        <w:t xml:space="preserve">Françoise Aubert  </w:t>
        <w:br/>
        <w:t>© Authority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