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https://www.autoritedelaconcurrence.fr/fr/decision-de-controle-des-concentrations/relative-la-prise-de-controle-exclusif-par-la-societe-metin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16-DCC-129 of August 16, 2016  </w:t>
        <w:br/>
        <w:t xml:space="preserve">regarding the exclusive control acquisition by Metin Holding of  </w:t>
        <w:br/>
        <w:t xml:space="preserve">Montereau Automobiles and Société Provinoise de Diffusion Automobile  </w:t>
        <w:br/>
        <w:t xml:space="preserve">The Competition Authority,  </w:t>
        <w:br/>
        <w:t xml:space="preserve">Having regard to the complete notification file submitted to the mergers department on July 27, 2016  </w:t>
        <w:br/>
        <w:t xml:space="preserve">concerning the acquisition of Montereau Automobiles and Société Provinoise de Diffusion Automobile by Metin Holding, formalized by two share transfer agreements dated June 23, 2016;  </w:t>
        <w:br/>
        <w:t xml:space="preserve">Having regard to Book IV of the Commercial Code relating to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Metin Holding of exclusive control  </w:t>
        <w:br/>
        <w:t xml:space="preserve">of Montereau Automobiles and Société Provinoise de Diffusion Automobile which  </w:t>
        <w:br/>
        <w:t xml:space="preserve">operate a Citroën dealership respectively in Montereau-Fault-Yonne (77) and in Provins  </w:t>
        <w:br/>
        <w:t xml:space="preserve">(77). This operation constitutes a concentration operation within the meaning of Article L. 430-1 of  </w:t>
        <w:br/>
        <w:t xml:space="preserve">the Commercial Code. Given the turnover achieved by the companies concerned,  </w:t>
        <w:br/>
        <w:t xml:space="preserve">the operation does not fall under the jurisdiction of the European Union. On the other hand, the thresholds for  </w:t>
        <w:br/>
        <w:t xml:space="preserve">control relating to retail trade mentioned in point II of Article L. 430-2 of the Commercial Code are exceeded.  </w:t>
        <w:br/>
        <w:t xml:space="preserve">This operation is therefore subject to the provisions of Articles  </w:t>
        <w:br/>
        <w:t xml:space="preserve">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16-154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