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https://www.autoritedelaconcurrence.fr/fr/decision-de-controle-des-concentrations/relative-la-prise-de-controle-exclusif-par-la-societe-mml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16-DCC-106 of July 19, 2016  </w:t>
        <w:br/>
        <w:t xml:space="preserve">regarding the exclusive control acquisition by MML Capital of  </w:t>
        <w:br/>
        <w:t xml:space="preserve">Groupe SVP  </w:t>
        <w:br/>
        <w:t xml:space="preserve">The Competition Authority,  </w:t>
        <w:br/>
        <w:t xml:space="preserve">Having regard to the complete notification file submitted to the mergers department on June 20, 2016,  </w:t>
        <w:br/>
        <w:t xml:space="preserve">concerning the exclusive control acquisition by MML Capital of Groupe SVP, formalized  </w:t>
        <w:br/>
        <w:t xml:space="preserve">by an offer letter dated June 8, 2016, and a draft share transfer agreement dated  </w:t>
        <w:br/>
        <w:t xml:space="preserve">June 10,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management company MML  </w:t>
        <w:br/>
        <w:t xml:space="preserve">Capital of the company Groupe SVP active in the sectors of decision support services, training, and payroll management.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related to retail trade mentioned in point 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16-113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