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https://www.autoritedelaconcurrence.fr/fr/decision-de-controle-des-concentrations/relative-la-prise-de-controle-exclusif-par-la-societe-my-0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20-DCC-139 of October 13, 2020  </w:t>
        <w:br/>
        <w:t xml:space="preserve">regarding the exclusive control acquisition by the company By My Car Group  </w:t>
        <w:br/>
        <w:t xml:space="preserve">of an automobile distribution business owned by the  </w:t>
        <w:br/>
        <w:t xml:space="preserve">company Renault Retail Group  </w:t>
        <w:br/>
        <w:t xml:space="preserve">The Competition Authority,  </w:t>
        <w:br/>
        <w:t xml:space="preserve">Having regard to the notification file sent to the mergers department on August 4, 2020, declared  </w:t>
        <w:br/>
        <w:t xml:space="preserve">complete on September 30, 2020, concerning the exclusive control acquisition by the company By My Car  </w:t>
        <w:br/>
        <w:t xml:space="preserve">Group of an automobile distribution business owned by the company Renault  </w:t>
        <w:br/>
        <w:t xml:space="preserve">Retail Group, formalized by a letter of intent for the transfer of shares dated  </w:t>
        <w:br/>
        <w:t xml:space="preserve">July 23,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By My Car Group  </w:t>
        <w:br/>
        <w:t xml:space="preserve">of the automobile distribution business owned by the company Renault Retail Group  </w:t>
        <w:br/>
        <w:t xml:space="preserve">located in Laxou (54) and distributing the brands Renault and Dacia.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 </w:t>
        <w:br/>
        <w:t xml:space="preserve">the European Union. On the other hand, the retail control thresholds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20-149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