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https://www.autoritedelaconcurrence.fr/fr/decision-de-controle-des-concentrations/relative-la-prise-de-controle-exclusif-par-la-societe-my</w:t>
      </w:r>
    </w:p>
    <w:p>
      <w:r>
        <w:t>Pages translated : 2</w:t>
      </w:r>
    </w:p>
    <w:p/>
    <w:p>
      <w:r>
        <w:rPr>
          <w:b/>
        </w:rPr>
        <w:t>[Pages 1–2]</w:t>
      </w:r>
    </w:p>
    <w:p>
      <w:r>
        <w:t xml:space="preserve">FRENCH REPUBLIC  </w:t>
        <w:br/>
        <w:t xml:space="preserve">Decision No. 16-DCC-193 of November 30, 2016  </w:t>
        <w:br/>
        <w:t xml:space="preserve">regarding the exclusive control acquisition by the company By My Car Group  </w:t>
        <w:br/>
        <w:t xml:space="preserve">of the company Auto Losange  </w:t>
        <w:br/>
        <w:t xml:space="preserve">The Competition Authority,  </w:t>
        <w:br/>
        <w:t xml:space="preserve">Having regard to the complete notification file submitted to the mergers department on November 3, 2016,  </w:t>
        <w:br/>
        <w:t xml:space="preserve">concerning the exclusive control acquisition by the company By My Car Group of the company Auto Losange,  </w:t>
        <w:br/>
        <w:t xml:space="preserve">formalized by a business transfer agreement signed on October 25,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By My Car Group of exclusive control  </w:t>
        <w:br/>
        <w:t xml:space="preserve">of the company Auto Losange, which is active in the sector of distribution and repair of vehicles of the brands Renault and Dacia in the department of Isère (38).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16-238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