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https://www.autoritedelaconcurrence.fr/fr/decision-de-controle-des-concentrations/relative-la-prise-de-controle-exclusif-par-la-societe-ndk</w:t>
      </w:r>
    </w:p>
    <w:p>
      <w:r>
        <w:t>Pages translated : 2</w:t>
      </w:r>
    </w:p>
    <w:p/>
    <w:p>
      <w:r>
        <w:rPr>
          <w:b/>
        </w:rPr>
        <w:t>[Pages 1–2]</w:t>
      </w:r>
    </w:p>
    <w:p>
      <w:r>
        <w:t xml:space="preserve">FRENCH REPUBLIC  </w:t>
        <w:br/>
        <w:t xml:space="preserve">Decision No. 20-DCC-68 of May 14, 2020  </w:t>
        <w:br/>
        <w:t xml:space="preserve">regarding the exclusive control acquisition by the company NDK of an automotive distribution business  </w:t>
        <w:br/>
        <w:t xml:space="preserve">The Competition Authority,  </w:t>
        <w:br/>
        <w:t xml:space="preserve">Having regard to the complete notification file sent to the mergers department on April 20, 2020, concerning the exclusive control acquisition by the company NDK of an automotive dealership business, formalized by a letter of intent dated March 11, 2020;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by the company NDK of the automotive distribution business previously operated by the company France Auto, which includes two Opel brand dealerships located in Montpellier (34) and Sète (34).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20-059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