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https://www.autoritedelaconcurrence.fr/fr/decision-de-controle-des-concentrations/relative-la-prise-de-controle-exclusif-par-la-societe-rc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17-DCC-27 of February 20, 2017  </w:t>
        <w:br/>
        <w:t xml:space="preserve">regarding the exclusive control acquisition by the company RC Immobilier of  </w:t>
        <w:br/>
        <w:t xml:space="preserve">the company PH Promotion  </w:t>
        <w:br/>
        <w:t xml:space="preserve">The Competition Authority,  </w:t>
        <w:br/>
        <w:t xml:space="preserve">Having regard to the complete notification file sent to the mergers department on February 3, 2017,  </w:t>
        <w:br/>
        <w:t xml:space="preserve">concerning the exclusive control acquisition by the company RC Immobilier of the company PH Promotion,  </w:t>
        <w:br/>
        <w:t xml:space="preserve">formalized by a letter of intent dated December 15,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PH Promotion by the  </w:t>
        <w:br/>
        <w:t xml:space="preserve">company RC Immobilier, which is itself controlled by Mr. Ronan Chabot. PH Promotion holds six  </w:t>
        <w:br/>
        <w:t xml:space="preserve">companies active in the field of automobile distribution for the brands Toyota, Lexus,  </w:t>
        <w:br/>
        <w:t xml:space="preserve">Mazda, and Subaru in the following departments: Meurthe-et-Moselle (54), Moselle (57),  </w:t>
        <w:br/>
        <w:t xml:space="preserve">Bas-Rhin (67), Haut-Rhin (68), and Vosges (88). This operation constitutes a concentration within  </w:t>
        <w:br/>
        <w:t xml:space="preserve">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retail trade control thresholds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17-016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