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https://www.autoritedelaconcurrence.fr/fr/decision-de-controle-des-concentrations/relative-la-prise-de-controle-exclusif-par-la-societe-smi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17-DCC-51 of April 21, 2017  </w:t>
        <w:br/>
        <w:t xml:space="preserve">regarding the exclusive control acquisition by the company SMI of several  </w:t>
        <w:br/>
        <w:t xml:space="preserve">automobile dealership business assets  </w:t>
        <w:br/>
        <w:t xml:space="preserve">The Competition Authority,  </w:t>
        <w:br/>
        <w:t xml:space="preserve">Having regard to the complete notification file submitted to the mergers department on April 6, 2017,  </w:t>
        <w:br/>
        <w:t xml:space="preserve">concerning the exclusive control acquisition by the company SMI of the companies Garage Maublanc SAS,  </w:t>
        <w:br/>
        <w:t xml:space="preserve">Automobile Services Creusois Guéret, SAS Raynaud, and Société Distribution Automobile Creusois, formalized by four reciprocal promises of sale of business assets dated March 29,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SMI of four subsidiaries  </w:t>
        <w:br/>
        <w:t xml:space="preserve">of the Holfi group operating automobile dealerships for the brands Citroën, DS, and Peugeot  </w:t>
        <w:br/>
        <w:t xml:space="preserve">in the departments of Indre (36) and Creuse (23). This operation constitutes a  </w:t>
        <w:br/>
        <w:t xml:space="preserve">concentration within the meaning of Article L. 430-1 of the Commercial Code. Given the turnover  </w:t>
        <w:br/>
        <w:t xml:space="preserve">achieved by the companies concerned, the operation does not fall under the jurisdiction of  </w:t>
        <w:br/>
        <w:t xml:space="preserve">the European Union. On the other hand, the retail trade control thresholds  </w:t>
        <w:br/>
        <w:t xml:space="preserve">mentioned in point II of Article L. 430-2 of the Commercial Code are exceeded. The present  </w:t>
        <w:br/>
        <w:t xml:space="preserve">operation is therefore subject to the provisions of Articles L. 430-3 and following of the Commercial Code  </w:t>
        <w:br/>
        <w:t xml:space="preserve">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17-058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