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https://www.autoritedelaconcurrence.fr/fr/decision-de-controle-des-concentrations/relative-la-prise-de-controle-exclusif-par-la-societe-sogep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17-DCC-235 of December 27, 2017  </w:t>
        <w:br/>
        <w:t xml:space="preserve">regarding the exclusive control acquisition by the company Sogep  </w:t>
        <w:br/>
        <w:t xml:space="preserve">(Pautric group) of the company Patrick Metz Bresse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30, 2017, concerning the exclusive control acquisition by the company Sogep of the company  </w:t>
        <w:br/>
        <w:t xml:space="preserve">Patrick Metz Bresse, formalized by a memorandum of understanding dated November 20,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Sogep, a subsidiary of the Pautric group, of  </w:t>
        <w:br/>
        <w:t xml:space="preserve">exclusive control of the company Patrick Metz Bresse, which operates a car dealership  </w:t>
        <w:br/>
        <w:t xml:space="preserve">for BMW and Mini brands in the department of Ain (01). This operation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trade control thresholds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17-268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